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B8" w:rsidRPr="00385C42" w:rsidRDefault="00385C42" w:rsidP="00385C42">
      <w:pPr>
        <w:spacing w:line="240" w:lineRule="auto"/>
        <w:ind w:firstLineChars="0" w:firstLine="0"/>
        <w:rPr>
          <w:rFonts w:ascii="黑体" w:eastAsia="黑体" w:hAnsi="黑体" w:cs="宋体"/>
          <w:b/>
          <w:bCs/>
          <w:color w:val="000000" w:themeColor="text1"/>
          <w:kern w:val="0"/>
          <w:sz w:val="32"/>
          <w:szCs w:val="32"/>
        </w:rPr>
      </w:pPr>
      <w:r w:rsidRPr="00385C42">
        <w:rPr>
          <w:rFonts w:ascii="黑体" w:eastAsia="黑体" w:hAnsi="黑体" w:cs="宋体" w:hint="eastAsia"/>
          <w:b/>
          <w:bCs/>
          <w:color w:val="000000" w:themeColor="text1"/>
          <w:kern w:val="0"/>
          <w:sz w:val="32"/>
          <w:szCs w:val="32"/>
        </w:rPr>
        <w:t>附件2</w:t>
      </w: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华文中宋" w:eastAsia="华文中宋" w:hAnsi="Times New Roman" w:cs="宋体"/>
          <w:b/>
          <w:bCs/>
          <w:color w:val="000000" w:themeColor="text1"/>
          <w:kern w:val="0"/>
          <w:sz w:val="52"/>
          <w:szCs w:val="52"/>
        </w:rPr>
      </w:pPr>
    </w:p>
    <w:p w:rsidR="00C46CB8" w:rsidRDefault="00C46CB8">
      <w:pPr>
        <w:spacing w:line="240" w:lineRule="auto"/>
        <w:ind w:firstLineChars="0" w:firstLine="0"/>
        <w:jc w:val="center"/>
        <w:rPr>
          <w:rFonts w:ascii="华文中宋" w:eastAsia="华文中宋" w:hAnsi="Times New Roman" w:cs="宋体"/>
          <w:b/>
          <w:bCs/>
          <w:color w:val="000000" w:themeColor="text1"/>
          <w:kern w:val="0"/>
          <w:sz w:val="52"/>
          <w:szCs w:val="52"/>
        </w:rPr>
      </w:pPr>
    </w:p>
    <w:p w:rsidR="00C46CB8" w:rsidRDefault="00640CC4">
      <w:pPr>
        <w:spacing w:line="240" w:lineRule="auto"/>
        <w:ind w:firstLineChars="0" w:firstLine="0"/>
        <w:jc w:val="center"/>
        <w:rPr>
          <w:rFonts w:ascii="华文中宋" w:eastAsia="华文中宋" w:hAnsi="Times New Roman" w:cs="宋体"/>
          <w:b/>
          <w:bCs/>
          <w:color w:val="000000" w:themeColor="text1"/>
          <w:kern w:val="0"/>
          <w:sz w:val="52"/>
          <w:szCs w:val="52"/>
        </w:rPr>
      </w:pPr>
      <w:r>
        <w:rPr>
          <w:rFonts w:ascii="华文中宋" w:eastAsia="华文中宋" w:hAnsi="Times New Roman" w:cs="宋体" w:hint="eastAsia"/>
          <w:b/>
          <w:bCs/>
          <w:color w:val="000000" w:themeColor="text1"/>
          <w:kern w:val="0"/>
          <w:sz w:val="52"/>
          <w:szCs w:val="52"/>
        </w:rPr>
        <w:t>2021年度重庆市教委哲学社会科学研究</w:t>
      </w:r>
      <w:r w:rsidR="00EB0D70">
        <w:rPr>
          <w:rFonts w:ascii="华文中宋" w:eastAsia="华文中宋" w:hAnsi="Times New Roman" w:cs="宋体" w:hint="eastAsia"/>
          <w:b/>
          <w:bCs/>
          <w:color w:val="000000" w:themeColor="text1"/>
          <w:kern w:val="0"/>
          <w:sz w:val="52"/>
          <w:szCs w:val="52"/>
        </w:rPr>
        <w:t>规划</w:t>
      </w:r>
      <w:r>
        <w:rPr>
          <w:rFonts w:ascii="华文中宋" w:eastAsia="华文中宋" w:hAnsi="Times New Roman" w:cs="宋体" w:hint="eastAsia"/>
          <w:b/>
          <w:bCs/>
          <w:color w:val="000000" w:themeColor="text1"/>
          <w:kern w:val="0"/>
          <w:sz w:val="52"/>
          <w:szCs w:val="52"/>
        </w:rPr>
        <w:t>项目课题指南</w:t>
      </w:r>
    </w:p>
    <w:p w:rsidR="00C46CB8" w:rsidRDefault="00C46CB8">
      <w:pPr>
        <w:spacing w:line="240" w:lineRule="auto"/>
        <w:ind w:firstLineChars="0" w:firstLine="0"/>
        <w:jc w:val="center"/>
        <w:rPr>
          <w:rFonts w:ascii="华文中宋" w:eastAsia="华文中宋" w:hAnsi="Times New Roman" w:cs="宋体"/>
          <w:b/>
          <w:bCs/>
          <w:color w:val="000000" w:themeColor="text1"/>
          <w:kern w:val="0"/>
          <w:sz w:val="36"/>
          <w:szCs w:val="36"/>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Pr="00EB0D70"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楷体_GB2312" w:eastAsia="楷体_GB2312" w:hAnsi="Times New Roman" w:cs="宋体"/>
          <w:b/>
          <w:bCs/>
          <w:color w:val="000000" w:themeColor="text1"/>
          <w:kern w:val="0"/>
          <w:sz w:val="36"/>
          <w:szCs w:val="36"/>
        </w:rPr>
      </w:pPr>
    </w:p>
    <w:p w:rsidR="00C46CB8" w:rsidRDefault="00640CC4">
      <w:pPr>
        <w:spacing w:line="240" w:lineRule="auto"/>
        <w:ind w:firstLineChars="0" w:firstLine="0"/>
        <w:jc w:val="center"/>
        <w:rPr>
          <w:rFonts w:ascii="楷体_GB2312" w:eastAsia="楷体_GB2312" w:hAnsi="Times New Roman" w:cs="宋体"/>
          <w:b/>
          <w:bCs/>
          <w:color w:val="000000" w:themeColor="text1"/>
          <w:kern w:val="0"/>
          <w:sz w:val="36"/>
          <w:szCs w:val="36"/>
        </w:rPr>
      </w:pPr>
      <w:r>
        <w:rPr>
          <w:rFonts w:ascii="楷体_GB2312" w:eastAsia="楷体_GB2312" w:hAnsi="Times New Roman" w:cs="宋体" w:hint="eastAsia"/>
          <w:b/>
          <w:bCs/>
          <w:color w:val="000000" w:themeColor="text1"/>
          <w:kern w:val="0"/>
          <w:sz w:val="36"/>
          <w:szCs w:val="36"/>
        </w:rPr>
        <w:t>2020年1</w:t>
      </w:r>
      <w:r w:rsidR="00EB0D70">
        <w:rPr>
          <w:rFonts w:ascii="楷体_GB2312" w:eastAsia="楷体_GB2312" w:hAnsi="Times New Roman" w:cs="宋体"/>
          <w:b/>
          <w:bCs/>
          <w:color w:val="000000" w:themeColor="text1"/>
          <w:kern w:val="0"/>
          <w:sz w:val="36"/>
          <w:szCs w:val="36"/>
        </w:rPr>
        <w:t>2</w:t>
      </w:r>
      <w:r>
        <w:rPr>
          <w:rFonts w:ascii="楷体_GB2312" w:eastAsia="楷体_GB2312" w:hAnsi="Times New Roman" w:cs="宋体" w:hint="eastAsia"/>
          <w:b/>
          <w:bCs/>
          <w:color w:val="000000" w:themeColor="text1"/>
          <w:kern w:val="0"/>
          <w:sz w:val="36"/>
          <w:szCs w:val="36"/>
        </w:rPr>
        <w:t>月</w:t>
      </w: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sectPr w:rsidR="00C46CB8">
          <w:headerReference w:type="even" r:id="rId8"/>
          <w:headerReference w:type="default" r:id="rId9"/>
          <w:footerReference w:type="even" r:id="rId10"/>
          <w:footerReference w:type="default" r:id="rId11"/>
          <w:headerReference w:type="first" r:id="rId12"/>
          <w:footerReference w:type="first" r:id="rId13"/>
          <w:pgSz w:w="11906" w:h="16838"/>
          <w:pgMar w:top="1361" w:right="1797" w:bottom="1361" w:left="1797" w:header="851" w:footer="992" w:gutter="0"/>
          <w:pgNumType w:start="1"/>
          <w:cols w:space="720"/>
          <w:docGrid w:type="lines" w:linePitch="312"/>
        </w:sectPr>
      </w:pPr>
    </w:p>
    <w:p w:rsidR="00C46CB8" w:rsidRDefault="00C46CB8">
      <w:pPr>
        <w:spacing w:line="240" w:lineRule="auto"/>
        <w:ind w:firstLineChars="0" w:firstLine="0"/>
        <w:jc w:val="center"/>
        <w:rPr>
          <w:rFonts w:ascii="黑体" w:eastAsia="黑体" w:hAnsi="Times New Roman" w:cs="宋体"/>
          <w:b/>
          <w:bCs/>
          <w:color w:val="000000" w:themeColor="text1"/>
          <w:kern w:val="0"/>
          <w:sz w:val="44"/>
          <w:szCs w:val="44"/>
        </w:rPr>
      </w:pPr>
    </w:p>
    <w:p w:rsidR="00C46CB8" w:rsidRDefault="00640CC4">
      <w:pPr>
        <w:widowControl w:val="0"/>
        <w:autoSpaceDN w:val="0"/>
        <w:spacing w:line="600" w:lineRule="exact"/>
        <w:ind w:firstLineChars="0" w:firstLine="0"/>
        <w:jc w:val="center"/>
        <w:textAlignment w:val="center"/>
        <w:rPr>
          <w:rFonts w:ascii="黑体" w:eastAsia="黑体" w:hAnsi="黑体" w:cs="宋体"/>
          <w:b/>
          <w:bCs/>
          <w:color w:val="000000" w:themeColor="text1"/>
          <w:kern w:val="0"/>
          <w:sz w:val="32"/>
          <w:szCs w:val="32"/>
        </w:rPr>
      </w:pPr>
      <w:r>
        <w:rPr>
          <w:rFonts w:ascii="黑体" w:eastAsia="黑体" w:hAnsi="黑体" w:cs="宋体" w:hint="eastAsia"/>
          <w:b/>
          <w:bCs/>
          <w:color w:val="000000" w:themeColor="text1"/>
          <w:kern w:val="0"/>
          <w:sz w:val="32"/>
          <w:szCs w:val="32"/>
        </w:rPr>
        <w:t>相关说明</w:t>
      </w:r>
    </w:p>
    <w:p w:rsidR="00C46CB8" w:rsidRDefault="00C46CB8">
      <w:pPr>
        <w:widowControl w:val="0"/>
        <w:autoSpaceDN w:val="0"/>
        <w:spacing w:line="600" w:lineRule="exact"/>
        <w:ind w:firstLineChars="0" w:firstLine="0"/>
        <w:textAlignment w:val="center"/>
        <w:rPr>
          <w:rFonts w:ascii="仿宋_GB2312" w:eastAsia="仿宋_GB2312" w:hAnsi="Times New Roman" w:cs="宋体"/>
          <w:bCs/>
          <w:color w:val="000000" w:themeColor="text1"/>
          <w:kern w:val="0"/>
          <w:sz w:val="32"/>
          <w:szCs w:val="32"/>
        </w:rPr>
      </w:pPr>
    </w:p>
    <w:p w:rsidR="00C46CB8" w:rsidRDefault="00640CC4">
      <w:pPr>
        <w:widowControl w:val="0"/>
        <w:autoSpaceDN w:val="0"/>
        <w:spacing w:line="700" w:lineRule="exact"/>
        <w:ind w:firstLine="640"/>
        <w:textAlignment w:val="center"/>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1.根据国家质量技术监督局2009年公布的《学科分类与代码》和高校的实际情况，本次项目申报的学科范围包括：马克思主义理论/思想政治教育、哲学、政治学、国际问题研究、语言学、中国文学、外国文学、艺术学、历史学、考古学、经济学、统计学、管理学、法学、社会学、人口学、民族学、新闻与传播学、图书情报文献学、教育学/心理学、体育学。</w:t>
      </w:r>
    </w:p>
    <w:p w:rsidR="00575FA7" w:rsidRDefault="002A7355">
      <w:pPr>
        <w:widowControl w:val="0"/>
        <w:autoSpaceDN w:val="0"/>
        <w:spacing w:line="700" w:lineRule="exact"/>
        <w:ind w:firstLine="640"/>
        <w:textAlignment w:val="center"/>
        <w:rPr>
          <w:rFonts w:ascii="仿宋_GB2312" w:eastAsia="仿宋_GB2312" w:hAnsi="Times New Roman" w:cs="Times New Roman"/>
          <w:color w:val="000000" w:themeColor="text1"/>
          <w:sz w:val="32"/>
          <w:szCs w:val="32"/>
        </w:rPr>
      </w:pPr>
      <w:r>
        <w:rPr>
          <w:rFonts w:ascii="仿宋_GB2312" w:eastAsia="仿宋_GB2312" w:hAnsi="Times New Roman" w:cs="宋体" w:hint="eastAsia"/>
          <w:bCs/>
          <w:color w:val="000000" w:themeColor="text1"/>
          <w:kern w:val="0"/>
          <w:sz w:val="32"/>
          <w:szCs w:val="32"/>
        </w:rPr>
        <w:t>2.</w:t>
      </w:r>
      <w:r w:rsidR="00640CC4">
        <w:rPr>
          <w:rFonts w:ascii="仿宋_GB2312" w:eastAsia="仿宋_GB2312" w:hAnsi="Times New Roman" w:cs="宋体" w:hint="eastAsia"/>
          <w:bCs/>
          <w:color w:val="000000" w:themeColor="text1"/>
          <w:kern w:val="0"/>
          <w:sz w:val="32"/>
          <w:szCs w:val="32"/>
        </w:rPr>
        <w:t>本“选题指南”主要是方向性条目，申请人须选择不同学科的研究角度和侧重点设计具体题目申报。</w:t>
      </w:r>
      <w:r w:rsidR="001C6689">
        <w:rPr>
          <w:rFonts w:ascii="仿宋_GB2312" w:eastAsia="仿宋_GB2312" w:hAnsi="Times New Roman" w:cs="宋体" w:hint="eastAsia"/>
          <w:bCs/>
          <w:color w:val="000000" w:themeColor="text1"/>
          <w:kern w:val="0"/>
          <w:sz w:val="32"/>
          <w:szCs w:val="32"/>
        </w:rPr>
        <w:t>党的</w:t>
      </w:r>
      <w:r w:rsidR="001C6689">
        <w:rPr>
          <w:rFonts w:ascii="仿宋_GB2312" w:eastAsia="仿宋_GB2312" w:hAnsi="Times New Roman" w:cs="宋体"/>
          <w:bCs/>
          <w:color w:val="000000" w:themeColor="text1"/>
          <w:kern w:val="0"/>
          <w:sz w:val="32"/>
          <w:szCs w:val="32"/>
        </w:rPr>
        <w:t>十九届五中全会精神研究阐释</w:t>
      </w:r>
      <w:r w:rsidR="001C6689">
        <w:rPr>
          <w:rFonts w:ascii="仿宋_GB2312" w:eastAsia="仿宋_GB2312" w:hAnsi="Times New Roman" w:cs="宋体" w:hint="eastAsia"/>
          <w:bCs/>
          <w:color w:val="000000" w:themeColor="text1"/>
          <w:kern w:val="0"/>
          <w:sz w:val="32"/>
          <w:szCs w:val="32"/>
        </w:rPr>
        <w:t>选题及</w:t>
      </w:r>
      <w:r w:rsidR="00640CC4">
        <w:rPr>
          <w:rFonts w:ascii="仿宋_GB2312" w:eastAsia="仿宋_GB2312" w:hAnsi="Times New Roman" w:cs="Times New Roman" w:hint="eastAsia"/>
          <w:color w:val="000000" w:themeColor="text1"/>
          <w:sz w:val="32"/>
          <w:szCs w:val="32"/>
        </w:rPr>
        <w:t>其他未列出选题的学科，</w:t>
      </w:r>
      <w:r w:rsidR="00640CC4">
        <w:rPr>
          <w:rFonts w:ascii="仿宋_GB2312" w:eastAsia="仿宋_GB2312" w:hAnsi="Times New Roman" w:cs="Times New Roman" w:hint="eastAsia"/>
          <w:color w:val="000000" w:themeColor="text1"/>
          <w:spacing w:val="-6"/>
          <w:sz w:val="32"/>
          <w:szCs w:val="32"/>
        </w:rPr>
        <w:t>可</w:t>
      </w:r>
      <w:r w:rsidR="00640CC4">
        <w:rPr>
          <w:rFonts w:ascii="仿宋_GB2312" w:eastAsia="仿宋_GB2312" w:hAnsi="Times New Roman" w:cs="Times New Roman" w:hint="eastAsia"/>
          <w:color w:val="000000" w:themeColor="text1"/>
          <w:sz w:val="32"/>
          <w:szCs w:val="32"/>
        </w:rPr>
        <w:t>依据研究的主要内容，按照“相近”原则，确定学科归属。</w:t>
      </w:r>
    </w:p>
    <w:p w:rsidR="00C46CB8" w:rsidRDefault="00640CC4">
      <w:pPr>
        <w:widowControl w:val="0"/>
        <w:autoSpaceDN w:val="0"/>
        <w:spacing w:line="700" w:lineRule="exact"/>
        <w:ind w:firstLine="640"/>
        <w:textAlignment w:val="center"/>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3.申请人可根据学术积累和研究兴趣，围绕深入学习贯彻习近平新时代中国特色</w:t>
      </w:r>
      <w:r w:rsidR="001C6689">
        <w:rPr>
          <w:rFonts w:ascii="仿宋_GB2312" w:eastAsia="仿宋_GB2312" w:hAnsi="Times New Roman" w:cs="宋体" w:hint="eastAsia"/>
          <w:bCs/>
          <w:color w:val="000000" w:themeColor="text1"/>
          <w:kern w:val="0"/>
          <w:sz w:val="32"/>
          <w:szCs w:val="32"/>
        </w:rPr>
        <w:t>社会主义思想、党的十九大和十九届二中、三中、四中、五中全会精神及</w:t>
      </w:r>
      <w:r w:rsidR="001C6689">
        <w:rPr>
          <w:rFonts w:ascii="仿宋_GB2312" w:eastAsia="仿宋_GB2312" w:hAnsi="Times New Roman" w:cs="宋体"/>
          <w:bCs/>
          <w:color w:val="000000" w:themeColor="text1"/>
          <w:kern w:val="0"/>
          <w:sz w:val="32"/>
          <w:szCs w:val="32"/>
        </w:rPr>
        <w:t>市委五届九次全会</w:t>
      </w:r>
      <w:r w:rsidR="001C6689">
        <w:rPr>
          <w:rFonts w:ascii="仿宋_GB2312" w:eastAsia="仿宋_GB2312" w:hAnsi="Times New Roman" w:cs="宋体" w:hint="eastAsia"/>
          <w:bCs/>
          <w:color w:val="000000" w:themeColor="text1"/>
          <w:kern w:val="0"/>
          <w:sz w:val="32"/>
          <w:szCs w:val="32"/>
        </w:rPr>
        <w:t>精神</w:t>
      </w:r>
      <w:r w:rsidR="001C6689">
        <w:rPr>
          <w:rFonts w:ascii="仿宋_GB2312" w:eastAsia="仿宋_GB2312" w:hAnsi="Times New Roman" w:cs="宋体"/>
          <w:bCs/>
          <w:color w:val="000000" w:themeColor="text1"/>
          <w:kern w:val="0"/>
          <w:sz w:val="32"/>
          <w:szCs w:val="32"/>
        </w:rPr>
        <w:t>，</w:t>
      </w:r>
      <w:r>
        <w:rPr>
          <w:rFonts w:ascii="仿宋_GB2312" w:eastAsia="仿宋_GB2312" w:hAnsi="Times New Roman" w:cs="宋体" w:hint="eastAsia"/>
          <w:bCs/>
          <w:color w:val="000000" w:themeColor="text1"/>
          <w:kern w:val="0"/>
          <w:sz w:val="32"/>
          <w:szCs w:val="32"/>
        </w:rPr>
        <w:t>聚焦国家和重庆经济社会发展需要，自主选题进行申报。</w:t>
      </w:r>
    </w:p>
    <w:p w:rsidR="00C46CB8" w:rsidRDefault="00640CC4">
      <w:pPr>
        <w:widowControl w:val="0"/>
        <w:autoSpaceDN w:val="0"/>
        <w:spacing w:line="700" w:lineRule="exact"/>
        <w:ind w:firstLine="640"/>
        <w:textAlignment w:val="center"/>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4.申报题目的表述应科学、严谨、规范、简明，一般不加副标题。</w:t>
      </w:r>
    </w:p>
    <w:p w:rsidR="00C46CB8" w:rsidRDefault="00C46CB8">
      <w:pPr>
        <w:spacing w:line="600" w:lineRule="exact"/>
        <w:ind w:firstLineChars="0" w:firstLine="0"/>
        <w:jc w:val="center"/>
        <w:rPr>
          <w:rFonts w:ascii="黑体" w:eastAsia="黑体" w:hAnsi="黑体" w:cs="宋体"/>
          <w:b/>
          <w:bCs/>
          <w:color w:val="000000" w:themeColor="text1"/>
          <w:kern w:val="0"/>
          <w:sz w:val="32"/>
          <w:szCs w:val="32"/>
        </w:rPr>
      </w:pPr>
    </w:p>
    <w:p w:rsidR="00C46CB8" w:rsidRDefault="00C46CB8">
      <w:pPr>
        <w:spacing w:line="600" w:lineRule="exact"/>
        <w:ind w:firstLineChars="0" w:firstLine="0"/>
        <w:jc w:val="center"/>
        <w:rPr>
          <w:rFonts w:ascii="黑体" w:eastAsia="黑体" w:hAnsi="黑体" w:cs="宋体"/>
          <w:b/>
          <w:bCs/>
          <w:color w:val="000000" w:themeColor="text1"/>
          <w:kern w:val="0"/>
          <w:sz w:val="32"/>
          <w:szCs w:val="32"/>
        </w:rPr>
      </w:pPr>
    </w:p>
    <w:p w:rsidR="00963FF9" w:rsidRDefault="00963FF9" w:rsidP="00575FA7">
      <w:pPr>
        <w:pStyle w:val="1"/>
        <w:spacing w:before="0" w:after="0" w:line="360" w:lineRule="auto"/>
        <w:ind w:firstLine="643"/>
        <w:jc w:val="center"/>
        <w:rPr>
          <w:rFonts w:ascii="黑体" w:eastAsia="黑体" w:hAnsi="黑体" w:cs="宋体"/>
          <w:color w:val="000000"/>
          <w:kern w:val="0"/>
          <w:sz w:val="32"/>
          <w:szCs w:val="32"/>
        </w:rPr>
      </w:pPr>
      <w:r>
        <w:rPr>
          <w:rFonts w:ascii="黑体" w:eastAsia="黑体" w:hAnsi="黑体" w:hint="eastAsia"/>
          <w:color w:val="000000"/>
          <w:kern w:val="0"/>
          <w:sz w:val="32"/>
          <w:szCs w:val="32"/>
        </w:rPr>
        <w:t>党的十九届五中全会精神</w:t>
      </w:r>
    </w:p>
    <w:p w:rsidR="00963FF9" w:rsidRDefault="00963FF9" w:rsidP="00963FF9">
      <w:pPr>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hint="eastAsia"/>
          <w:sz w:val="32"/>
          <w:szCs w:val="32"/>
        </w:rPr>
        <w:t>1.开启全面建设社会主义现代化国家新征程研究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2.全面建设社会主义现代化新阶段我国发展环境研究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3.到二〇三五年基本实现社会主义现代化远景目标研究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4.“十四五”时期经济社会发展指导思想、必须遵循的原则</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和主要目标研究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5.“十四五”时期经济社会发展重点任务研究</w:t>
      </w:r>
    </w:p>
    <w:p w:rsidR="00963FF9" w:rsidRDefault="00963FF9" w:rsidP="00575FA7">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6.构建以国内大循环为主体、国内国际双循环相互促进的新发展格局研究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7.坚持创新驱动发展全面塑造发展新优势研究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8.弘扬科学精神和工匠精神研究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9.坚持“四个面向”完善国家创新体系研究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10.加快发展现代产业体系、推动经济体系优化升级研究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11.提升产业</w:t>
      </w:r>
      <w:proofErr w:type="gramStart"/>
      <w:r>
        <w:rPr>
          <w:rFonts w:ascii="仿宋_GB2312" w:eastAsia="仿宋_GB2312" w:hAnsi="Times New Roman" w:hint="eastAsia"/>
          <w:sz w:val="32"/>
          <w:szCs w:val="32"/>
        </w:rPr>
        <w:t>链供应</w:t>
      </w:r>
      <w:proofErr w:type="gramEnd"/>
      <w:r>
        <w:rPr>
          <w:rFonts w:ascii="仿宋_GB2312" w:eastAsia="仿宋_GB2312" w:hAnsi="Times New Roman" w:hint="eastAsia"/>
          <w:sz w:val="32"/>
          <w:szCs w:val="32"/>
        </w:rPr>
        <w:t>链现代化水平研究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12.推动数字经济和实体经济深度融合研究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13.加快培育完整内需体系研究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14.实施扩大内需战略同深化供给侧结构性改革有机结合研究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15.推进以人为核心的新型城镇化研究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16.构建高水平社会主义市场经济体制研究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17.优先发展农业农村、全面推进乡村振兴研究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18.构建高质量发展的国土空间布局和支撑体系研究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lastRenderedPageBreak/>
        <w:t>19.到二〇三五年建成社会主义文化强国研究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20.加强党史、新中国史、改革开放史、社会主义发展史教育研究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21.建设高质量教育体系研究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22.改善人民生活品质、提高社会建设水平研究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23.提高应对突发公共卫生事件能力研究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24.实施积极应对人口老龄化国家战略研究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25.加强国家安全体系和能力建设研究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26.加快国防和军队现代化、实现富国和强军相统一研究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27.坚持法治国家、法治政府、法治社会一体建设研究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2</w:t>
      </w:r>
      <w:r w:rsidR="00224B0A">
        <w:rPr>
          <w:rFonts w:ascii="仿宋_GB2312" w:eastAsia="仿宋_GB2312" w:hAnsi="Times New Roman"/>
          <w:sz w:val="32"/>
          <w:szCs w:val="32"/>
        </w:rPr>
        <w:t>8</w:t>
      </w:r>
      <w:r>
        <w:rPr>
          <w:rFonts w:ascii="仿宋_GB2312" w:eastAsia="仿宋_GB2312" w:hAnsi="Times New Roman" w:hint="eastAsia"/>
          <w:sz w:val="32"/>
          <w:szCs w:val="32"/>
        </w:rPr>
        <w:t>.实行高水平对外开放、开拓合作共赢新局面研究</w:t>
      </w:r>
    </w:p>
    <w:p w:rsidR="00963FF9" w:rsidRDefault="00224B0A"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sz w:val="32"/>
          <w:szCs w:val="32"/>
        </w:rPr>
        <w:t>29</w:t>
      </w:r>
      <w:r w:rsidR="00963FF9">
        <w:rPr>
          <w:rFonts w:ascii="仿宋_GB2312" w:eastAsia="仿宋_GB2312" w:hAnsi="Times New Roman" w:hint="eastAsia"/>
          <w:sz w:val="32"/>
          <w:szCs w:val="32"/>
        </w:rPr>
        <w:t>.积极参与全球经济治理体系改革研究</w:t>
      </w:r>
    </w:p>
    <w:p w:rsidR="00963FF9" w:rsidRDefault="00963FF9" w:rsidP="00963FF9">
      <w:pPr>
        <w:spacing w:line="360" w:lineRule="auto"/>
        <w:ind w:left="502" w:hangingChars="157" w:hanging="502"/>
        <w:rPr>
          <w:rFonts w:ascii="仿宋_GB2312" w:eastAsia="仿宋_GB2312" w:hAnsi="Times New Roman"/>
          <w:sz w:val="32"/>
          <w:szCs w:val="32"/>
        </w:rPr>
      </w:pPr>
      <w:r>
        <w:rPr>
          <w:rFonts w:ascii="仿宋_GB2312" w:eastAsia="仿宋_GB2312" w:hAnsi="Times New Roman" w:hint="eastAsia"/>
          <w:sz w:val="32"/>
          <w:szCs w:val="32"/>
        </w:rPr>
        <w:t>3</w:t>
      </w:r>
      <w:r w:rsidR="00224B0A">
        <w:rPr>
          <w:rFonts w:ascii="仿宋_GB2312" w:eastAsia="仿宋_GB2312" w:hAnsi="Times New Roman"/>
          <w:sz w:val="32"/>
          <w:szCs w:val="32"/>
        </w:rPr>
        <w:t>0</w:t>
      </w:r>
      <w:r>
        <w:rPr>
          <w:rFonts w:ascii="仿宋_GB2312" w:eastAsia="仿宋_GB2312" w:hAnsi="Times New Roman" w:hint="eastAsia"/>
          <w:sz w:val="32"/>
          <w:szCs w:val="32"/>
        </w:rPr>
        <w:t>.推动构建新型国际关系和人类命运共同体研究</w:t>
      </w:r>
    </w:p>
    <w:p w:rsidR="00963FF9" w:rsidRPr="00963FF9" w:rsidRDefault="00963FF9">
      <w:pPr>
        <w:spacing w:line="600" w:lineRule="exact"/>
        <w:ind w:firstLineChars="0" w:firstLine="0"/>
        <w:jc w:val="center"/>
        <w:rPr>
          <w:rFonts w:ascii="黑体" w:eastAsia="黑体" w:hAnsi="黑体" w:cs="宋体"/>
          <w:b/>
          <w:bCs/>
          <w:color w:val="000000" w:themeColor="text1"/>
          <w:kern w:val="0"/>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马克思主义理论/思想政治教育</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Pr>
          <w:rFonts w:ascii="仿宋_GB2312" w:eastAsia="仿宋_GB2312" w:hint="eastAsia"/>
          <w:color w:val="000000" w:themeColor="text1"/>
          <w:sz w:val="32"/>
          <w:szCs w:val="32"/>
        </w:rPr>
        <w:t>习近平新时代中国特色社会主义思想科学体系研究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w:t>
      </w:r>
      <w:r>
        <w:rPr>
          <w:rFonts w:ascii="仿宋_GB2312" w:eastAsia="仿宋_GB2312" w:hint="eastAsia"/>
          <w:color w:val="000000" w:themeColor="text1"/>
          <w:sz w:val="32"/>
          <w:szCs w:val="32"/>
        </w:rPr>
        <w:t>习近平新时代中国特色社会主义思想方法论研究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3.习近平总书记关于新时代党的建设重要论述研究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4.习近平生态文明思想研究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5.习近平总书记关于“十四五”规划编制工作重要论述研究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6.习近平总书记关于推进国家治理体系和治理能力现代化重要论</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7.习近平总书记关于人类命运共同体重要论述研究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8.习近平总书记关于教育重要论述研究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9.习近平总书记关于坚持和发展马克思主义政治经济学的重要论</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0</w:t>
      </w:r>
      <w:r>
        <w:rPr>
          <w:rFonts w:ascii="仿宋_GB2312" w:eastAsia="仿宋_GB2312" w:hAnsi="Times New Roman" w:cs="Times New Roman" w:hint="eastAsia"/>
          <w:color w:val="000000" w:themeColor="text1"/>
          <w:sz w:val="32"/>
          <w:szCs w:val="32"/>
        </w:rPr>
        <w:t>.中国共产党百年历史进程和基本经验研究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1</w:t>
      </w:r>
      <w:r>
        <w:rPr>
          <w:rFonts w:ascii="仿宋_GB2312" w:eastAsia="仿宋_GB2312" w:hAnsi="Times New Roman" w:cs="Times New Roman" w:hint="eastAsia"/>
          <w:color w:val="000000" w:themeColor="text1"/>
          <w:sz w:val="32"/>
          <w:szCs w:val="32"/>
        </w:rPr>
        <w:t>.中国共产党百年建设史研究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2</w:t>
      </w:r>
      <w:r>
        <w:rPr>
          <w:rFonts w:ascii="仿宋_GB2312" w:eastAsia="仿宋_GB2312" w:hAnsi="Times New Roman" w:cs="Times New Roman" w:hint="eastAsia"/>
          <w:color w:val="000000" w:themeColor="text1"/>
          <w:sz w:val="32"/>
          <w:szCs w:val="32"/>
        </w:rPr>
        <w:t>.中国共产党百年指导思想创新史研究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3</w:t>
      </w:r>
      <w:r>
        <w:rPr>
          <w:rFonts w:ascii="仿宋_GB2312" w:eastAsia="仿宋_GB2312" w:hAnsi="Times New Roman" w:cs="Times New Roman" w:hint="eastAsia"/>
          <w:color w:val="000000" w:themeColor="text1"/>
          <w:sz w:val="32"/>
          <w:szCs w:val="32"/>
        </w:rPr>
        <w:t>.中国共产党领导中华民族伟大复兴的历史经验研究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4</w:t>
      </w:r>
      <w:r>
        <w:rPr>
          <w:rFonts w:ascii="仿宋_GB2312" w:eastAsia="仿宋_GB2312" w:hAnsi="Times New Roman" w:cs="Times New Roman" w:hint="eastAsia"/>
          <w:color w:val="000000" w:themeColor="text1"/>
          <w:sz w:val="32"/>
          <w:szCs w:val="32"/>
        </w:rPr>
        <w:t>.中国共产党领导经济建设、政治建设、文化建设、社会建设、生态文明建设的历史经验研究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5</w:t>
      </w:r>
      <w:r>
        <w:rPr>
          <w:rFonts w:ascii="仿宋_GB2312" w:eastAsia="仿宋_GB2312" w:hAnsi="Times New Roman" w:cs="Times New Roman" w:hint="eastAsia"/>
          <w:color w:val="000000" w:themeColor="text1"/>
          <w:sz w:val="32"/>
          <w:szCs w:val="32"/>
        </w:rPr>
        <w:t>.中国共产党开创中国特色社会主义道路、理论体系、制度、文化的历史经验研究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6</w:t>
      </w:r>
      <w:r>
        <w:rPr>
          <w:rFonts w:ascii="仿宋_GB2312" w:eastAsia="仿宋_GB2312" w:hAnsi="Times New Roman" w:cs="Times New Roman" w:hint="eastAsia"/>
          <w:color w:val="000000" w:themeColor="text1"/>
          <w:sz w:val="32"/>
          <w:szCs w:val="32"/>
        </w:rPr>
        <w:t>.马克思主义经典著作及其当代价值研究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w:t>
      </w:r>
      <w:r w:rsidR="0003515F">
        <w:rPr>
          <w:rFonts w:ascii="仿宋_GB2312" w:eastAsia="仿宋_GB2312" w:hAnsi="Times New Roman" w:cs="Times New Roman"/>
          <w:color w:val="000000" w:themeColor="text1"/>
          <w:sz w:val="32"/>
          <w:szCs w:val="32"/>
        </w:rPr>
        <w:t>7</w:t>
      </w:r>
      <w:r>
        <w:rPr>
          <w:rFonts w:ascii="仿宋_GB2312" w:eastAsia="仿宋_GB2312" w:hAnsi="Times New Roman" w:cs="Times New Roman" w:hint="eastAsia"/>
          <w:color w:val="000000" w:themeColor="text1"/>
          <w:sz w:val="32"/>
          <w:szCs w:val="32"/>
        </w:rPr>
        <w:t>.马克思主义发展史重大问题研究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1</w:t>
      </w:r>
      <w:r w:rsidR="0003515F">
        <w:rPr>
          <w:rFonts w:ascii="仿宋_GB2312" w:eastAsia="仿宋_GB2312" w:hAnsi="Times New Roman" w:cs="Times New Roman"/>
          <w:color w:val="000000" w:themeColor="text1"/>
          <w:sz w:val="32"/>
          <w:szCs w:val="32"/>
        </w:rPr>
        <w:t>8</w:t>
      </w:r>
      <w:r>
        <w:rPr>
          <w:rFonts w:ascii="仿宋_GB2312" w:eastAsia="仿宋_GB2312" w:hAnsi="Times New Roman" w:cs="Times New Roman" w:hint="eastAsia"/>
          <w:color w:val="000000" w:themeColor="text1"/>
          <w:sz w:val="32"/>
          <w:szCs w:val="32"/>
        </w:rPr>
        <w:t>.马克思主义中国化的发展历程及基本经验研究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19.马克思“人民主体”思想的内在逻辑及当代价值研究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20.恩格斯对马克思主义的贡献研究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21.列宁对马克思主义的贡献研究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22.列宁的帝国主义理论及其当代价值研究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23.毛泽东思想的理论贡献及当代价值研究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24.邓小平理论的理论贡献及当代价值研究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25.“三个代表”重要思想的理论贡献研究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26.科学发展观的理论贡献研究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27.新时期社会主义核心价值观建设研究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28.新时代人民群众美好生活的内涵及实现条件研究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29.弘扬新时代伟大抗</w:t>
      </w:r>
      <w:proofErr w:type="gramStart"/>
      <w:r>
        <w:rPr>
          <w:rFonts w:ascii="仿宋_GB2312" w:eastAsia="仿宋_GB2312" w:hAnsi="Times New Roman" w:cs="Times New Roman" w:hint="eastAsia"/>
          <w:color w:val="000000" w:themeColor="text1"/>
          <w:sz w:val="32"/>
          <w:szCs w:val="32"/>
        </w:rPr>
        <w:t>疫</w:t>
      </w:r>
      <w:proofErr w:type="gramEnd"/>
      <w:r>
        <w:rPr>
          <w:rFonts w:ascii="仿宋_GB2312" w:eastAsia="仿宋_GB2312" w:hAnsi="Times New Roman" w:cs="Times New Roman" w:hint="eastAsia"/>
          <w:color w:val="000000" w:themeColor="text1"/>
          <w:sz w:val="32"/>
          <w:szCs w:val="32"/>
        </w:rPr>
        <w:t>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30.弘扬新时代“红船精神”研究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31.弘扬新时代“西迁精神”研究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32.弘扬新时代科学家精神研究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33.科学社会主义与新时代中国社会发展研究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34.海外视域下新时代中国特色社会主义</w:t>
      </w:r>
      <w:proofErr w:type="gramStart"/>
      <w:r>
        <w:rPr>
          <w:rFonts w:ascii="仿宋_GB2312" w:eastAsia="仿宋_GB2312" w:hAnsi="Times New Roman" w:cs="Times New Roman" w:hint="eastAsia"/>
          <w:color w:val="000000" w:themeColor="text1"/>
          <w:sz w:val="32"/>
          <w:szCs w:val="32"/>
        </w:rPr>
        <w:t>及其世界</w:t>
      </w:r>
      <w:proofErr w:type="gramEnd"/>
      <w:r>
        <w:rPr>
          <w:rFonts w:ascii="仿宋_GB2312" w:eastAsia="仿宋_GB2312" w:hAnsi="Times New Roman" w:cs="Times New Roman" w:hint="eastAsia"/>
          <w:color w:val="000000" w:themeColor="text1"/>
          <w:sz w:val="32"/>
          <w:szCs w:val="32"/>
        </w:rPr>
        <w:t>影响</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35.国际共产主义运动发展的新特点、新走向研究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36.当代世界社会主义流派研究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37.国外马克思主义前沿问题研究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38.21世纪资本主义发展的新特点及趋势研究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39.推进重庆大中小学</w:t>
      </w:r>
      <w:proofErr w:type="gramStart"/>
      <w:r>
        <w:rPr>
          <w:rFonts w:ascii="仿宋_GB2312" w:eastAsia="仿宋_GB2312" w:hAnsi="Times New Roman" w:cs="Times New Roman" w:hint="eastAsia"/>
          <w:color w:val="000000" w:themeColor="text1"/>
          <w:sz w:val="32"/>
          <w:szCs w:val="32"/>
        </w:rPr>
        <w:t>思政课</w:t>
      </w:r>
      <w:proofErr w:type="gramEnd"/>
      <w:r>
        <w:rPr>
          <w:rFonts w:ascii="仿宋_GB2312" w:eastAsia="仿宋_GB2312" w:hAnsi="Times New Roman" w:cs="Times New Roman" w:hint="eastAsia"/>
          <w:color w:val="000000" w:themeColor="text1"/>
          <w:sz w:val="32"/>
          <w:szCs w:val="32"/>
        </w:rPr>
        <w:t>一体化建设研究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40.推进重庆</w:t>
      </w:r>
      <w:proofErr w:type="gramStart"/>
      <w:r>
        <w:rPr>
          <w:rFonts w:ascii="仿宋_GB2312" w:eastAsia="仿宋_GB2312" w:hAnsi="Times New Roman" w:cs="Times New Roman" w:hint="eastAsia"/>
          <w:color w:val="000000" w:themeColor="text1"/>
          <w:sz w:val="32"/>
          <w:szCs w:val="32"/>
        </w:rPr>
        <w:t>高校思政课程</w:t>
      </w:r>
      <w:proofErr w:type="gramEnd"/>
      <w:r>
        <w:rPr>
          <w:rFonts w:ascii="仿宋_GB2312" w:eastAsia="仿宋_GB2312" w:hAnsi="Times New Roman" w:cs="Times New Roman" w:hint="eastAsia"/>
          <w:color w:val="000000" w:themeColor="text1"/>
          <w:sz w:val="32"/>
          <w:szCs w:val="32"/>
        </w:rPr>
        <w:t>与课程</w:t>
      </w:r>
      <w:proofErr w:type="gramStart"/>
      <w:r>
        <w:rPr>
          <w:rFonts w:ascii="仿宋_GB2312" w:eastAsia="仿宋_GB2312" w:hAnsi="Times New Roman" w:cs="Times New Roman" w:hint="eastAsia"/>
          <w:color w:val="000000" w:themeColor="text1"/>
          <w:sz w:val="32"/>
          <w:szCs w:val="32"/>
        </w:rPr>
        <w:t>思政同</w:t>
      </w:r>
      <w:proofErr w:type="gramEnd"/>
      <w:r>
        <w:rPr>
          <w:rFonts w:ascii="仿宋_GB2312" w:eastAsia="仿宋_GB2312" w:hAnsi="Times New Roman" w:cs="Times New Roman" w:hint="eastAsia"/>
          <w:color w:val="000000" w:themeColor="text1"/>
          <w:sz w:val="32"/>
          <w:szCs w:val="32"/>
        </w:rPr>
        <w:t>向同行研究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41.重庆网络意识形态传播及治理研究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42.中国共产党在重庆展开地下斗争史研究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43.重庆地方党史文献和影像史料研究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44.重庆红色文化资源的保护、挖掘、整理、利用研究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45.重庆大学生思想政治教育的创新与实践研究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46.大数据背景下重庆高校意识形态安全研究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哲学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1.习近平新时代中国特色社会主义思想的哲学理论研究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2.习近平新时代中国特色社会主义思想的价值观研究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3.习近平总书记关于生态文明建设重要论述的哲学研究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4.习近平总书记关于构建人类命运共同体重要论述的哲学研究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5.习近平总书记关于意识形态工作重要论述的哲学研究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6.习近平总书记关于新时代群众路线重要论述的哲学基础研究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7.中国特色社会主义制度优越性的哲学研究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8.以人民为中心的思想基础研究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9.社会主义核心价值观基础理论研究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10.关于高质量发展和美好生活的哲学研究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11.马克思主义哲学经典著作研究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12.马克思主义哲学基本理论研究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13.马克思主义哲学史专题研究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14.马克思主义经济哲学研究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15.马克思主义生态哲学研究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16.马克思主义发展哲学研究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17.马克思主义政治哲学研究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18.马克思主义文化哲学研究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19.马克思主义社会哲学研究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20.马克思主义历史哲学研究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21.马克思主义价值哲学研究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22.马克思主义经典作家科学技术思想研究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23.马克思主义法哲学研究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24.马克思主义哲学的中国化、时代化、大众化研究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25.国外马克思主义哲学研究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26.中国传统哲学的基础理论问题研究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27.中国传统哲学历史哲学研究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28.中国传统哲学的思想特色研究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29.中国传统哲学的修养理论研究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30.中国传统哲学文献的整理与诠释专题研究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31.中国哲学史人物、流派研究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32.中国传统文化的创造性转化和创新性发展研究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33.中国传统文化的当代性和世界性研究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34.当代中国阐释学研究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35.中外哲学交流与比较研究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36.文明</w:t>
      </w:r>
      <w:proofErr w:type="gramStart"/>
      <w:r>
        <w:rPr>
          <w:rFonts w:ascii="仿宋_GB2312" w:eastAsia="仿宋_GB2312" w:hAnsi="Times New Roman" w:cs="Times New Roman" w:hint="eastAsia"/>
          <w:color w:val="000000" w:themeColor="text1"/>
          <w:sz w:val="32"/>
          <w:szCs w:val="32"/>
        </w:rPr>
        <w:t>交流互鉴的</w:t>
      </w:r>
      <w:proofErr w:type="gramEnd"/>
      <w:r>
        <w:rPr>
          <w:rFonts w:ascii="仿宋_GB2312" w:eastAsia="仿宋_GB2312" w:hAnsi="Times New Roman" w:cs="Times New Roman" w:hint="eastAsia"/>
          <w:color w:val="000000" w:themeColor="text1"/>
          <w:sz w:val="32"/>
          <w:szCs w:val="32"/>
        </w:rPr>
        <w:t>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37.西方哲学的基础理论问题研究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38.西方哲学中国传播史研究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39.当代外国哲学思潮、流派和发展趋势研究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40.西方哲学经典著作编译研究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41.西方历史哲学研究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42.西方政治哲学与法哲学研究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43.“一带一路”沿线国家中外哲学传播研究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44.中国特色伦理学理论体系与学科建设研究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45.伦理学基础理论与前沿问题研究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46.中外伦理学比较研究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47.中华传统美德的传承、弘扬和现代转化研究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48.当前科技伦理研究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49.中国特色美学理论体系与学科建设研究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50.中国美学</w:t>
      </w:r>
      <w:proofErr w:type="gramStart"/>
      <w:r>
        <w:rPr>
          <w:rFonts w:ascii="仿宋_GB2312" w:eastAsia="仿宋_GB2312" w:hAnsi="Times New Roman" w:cs="Times New Roman" w:hint="eastAsia"/>
          <w:color w:val="000000" w:themeColor="text1"/>
          <w:sz w:val="32"/>
          <w:szCs w:val="32"/>
        </w:rPr>
        <w:t>史基本</w:t>
      </w:r>
      <w:proofErr w:type="gramEnd"/>
      <w:r>
        <w:rPr>
          <w:rFonts w:ascii="仿宋_GB2312" w:eastAsia="仿宋_GB2312" w:hAnsi="Times New Roman" w:cs="Times New Roman" w:hint="eastAsia"/>
          <w:color w:val="000000" w:themeColor="text1"/>
          <w:sz w:val="32"/>
          <w:szCs w:val="32"/>
        </w:rPr>
        <w:t>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51.美丽中国的美学研究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52.当代西方美学研究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53.当代科学技术哲学基本理论与学科建设研究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54.当代科学技术前沿问题的哲学研究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55.重大工程技术及其风险问题的哲学研究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56.中国古代逻辑研究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57.西方逻辑哲学前沿问题研究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58.当代逻辑学的基本问题及其学科建设研究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59.成渝地区双城经济圈协同发展的哲学理论基础研究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60.重庆筑牢长江上游生态屏障的哲学理论基础研究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政治学</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1.习近平新时代中国特色社会主义思想对马克思主义国家理论的发展研究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2.习近平总书记关于坚持和完善中国特色社会主义制度、推进国家治理体系和治理能力现代化的重要论述研究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3.习近平总书记关于党和国家领导体制建设的重要论述研究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4.习近平总书记关于加强和改进人民政协工作的重要思想研究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5.坚持和完善中国特色社会主义制度与推进国家治理体系和治理能力现代化的相互关系研究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6.中国特色社会主义制度和国家治理体系的政治哲学基础和价值内涵研究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7.中国优秀传统文化中关于国家治理与制度建设的思想研究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8.坚持和健全总揽全局、协调各方的党的领导制度体系研究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9.新时代提高党科学执政、民主执政、依法执政水平研究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10.落实党的领导到国家治理各领域各方面各环节的途径研究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11.中国特色社会主义新型政党制度的特点、优势和机理研究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12.中国特色社会主义政治制度和国家治理体系的人民民主属性和显著优势研究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13.中国特色社会主义坚持共同的理想信念、价值理念、道德观念的制度显著优势的机理研究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14.中国特色社会主义坚持德才兼备、选贤任能，培养造就更多更优秀人才的制度显著优势的机理研究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15.中国特色社会主义坚持“一国两制”显著优势的机理研究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16.把我国政治制度优势更好地转化为国家治理的政治效能的途径和机制研究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17.健全党中央对重大工作的领导体制研究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18.强化党中央决策议事协调机构职能的途径研究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19.完善推动党中央重大决策落实机制研究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20.完善党领导人民代表大会的制度研究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21.完善党领导政府的体制机制研究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22.完善党领导人民政协的体制机制研究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23.完善党领导国家监察、审判和检察机关的制度研究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24.完善党领导基层群众自治组织的制度研究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25.完善对于领导干部担当作为的激励机制研究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26.完善和落实全面从严治党责任制度研究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27.全面从严治党背景下的党内民主建设研究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28.跨领域跨部门综合执法的体制机制探索研究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29.建立健全运用互联网、大数据、人工智能进行行政管理的制度规则研究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30.推进数字政府建设研究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31.健全社会心理服务体系和危机干预机制研究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32.完善社会矛盾纠纷多元预防调处化解综合机制研究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33.中国传统政治哲学研究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34.政治学研究方法发展研究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35.国外比较政治学发展研究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36.地缘政治学发展研究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37.新时代重庆事业单位党的建设研究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38.新时代重庆国有企业党的建设研究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39.新时代重庆民营企业党的建设研究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40.重庆领导干部本领和能力的培育和评估体系与机制研究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41.健全重庆党管干部和选贤任能的体制机制研究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42.健全重庆基层党组织领导的基层群众自治机制研究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43.优化营商环境视域下的重庆政府治理体系和治理能力推进路径研究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国际问题研究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1.习近平外交思想研究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2.习近平新时代中国特色社会主义思想的国际影响研究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3.海外关于习近平新时代中国特色社会主义思想的研究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4.中国实现“第二个一百年”奋斗目标的国际战略环境研究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5.人类命运共同体与世界秩序研究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w:t>
      </w:r>
      <w:r w:rsidR="00B12788">
        <w:rPr>
          <w:rFonts w:ascii="仿宋_GB2312" w:eastAsia="仿宋_GB2312" w:hAnsi="Times New Roman" w:cs="Times New Roman" w:hint="eastAsia"/>
          <w:color w:val="000000" w:themeColor="text1"/>
          <w:sz w:val="32"/>
          <w:szCs w:val="32"/>
        </w:rPr>
        <w:t>人类命运共同体</w:t>
      </w:r>
      <w:r>
        <w:rPr>
          <w:rFonts w:ascii="仿宋_GB2312" w:eastAsia="仿宋_GB2312" w:hAnsi="Times New Roman" w:cs="Times New Roman" w:hint="eastAsia"/>
          <w:color w:val="000000" w:themeColor="text1"/>
          <w:sz w:val="32"/>
          <w:szCs w:val="32"/>
        </w:rPr>
        <w:t>理念的海外传播和国际认同研究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7.百年大变局下大国关系研究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8.马克思主义国际关系理论研究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9.毛泽东“三个世界划分”理论的当代意义研究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10.新时期重要战略机遇期研究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11.中国与“一带一路”沿线国家水资源问题研究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12.国际互联网的全球治理与规则制定研究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13.新型安全伙伴关系研究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14.周边国家对中国的新认知和周边安全环境变化趋势及对策研究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15.新形势下中国和欧盟在非洲的竞争与合作关系研究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16.“一带一路”与中非命运共同体研究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17.中</w:t>
      </w:r>
      <w:proofErr w:type="gramStart"/>
      <w:r>
        <w:rPr>
          <w:rFonts w:ascii="仿宋_GB2312" w:eastAsia="仿宋_GB2312" w:hAnsi="Times New Roman" w:cs="Times New Roman" w:hint="eastAsia"/>
          <w:color w:val="000000" w:themeColor="text1"/>
          <w:sz w:val="32"/>
          <w:szCs w:val="32"/>
        </w:rPr>
        <w:t>拉命运</w:t>
      </w:r>
      <w:proofErr w:type="gramEnd"/>
      <w:r>
        <w:rPr>
          <w:rFonts w:ascii="仿宋_GB2312" w:eastAsia="仿宋_GB2312" w:hAnsi="Times New Roman" w:cs="Times New Roman" w:hint="eastAsia"/>
          <w:color w:val="000000" w:themeColor="text1"/>
          <w:sz w:val="32"/>
          <w:szCs w:val="32"/>
        </w:rPr>
        <w:t>共同体与“一带一路”研究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18.南亚国家与“一带一路”研究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19.国际金融垄断现状及趋势与重庆防范化解金融风险研究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20.发达国家金融科技现状及趋势与重庆学习、借鉴及应对研究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21.“一带一路”与重庆产业“走出去”研究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22.发达经济体、新兴经济体经济运行与宏观经济政策调整情况对重庆的影响研究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23.国际主要货币汇率、利率变化情况及对重庆的影响研究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语言学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1.新时代语言文明建设研究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2.国家语言能力建设多维度研究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3.甲骨文的历史思想和文化价值研究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4.甲骨文等古文字与中华文化传承研究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5.古文字资料整理与刊布的专业标准研究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6.晚清以来中外语言接触与现代汉语发展研究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7.近代汉语文献中的方言自造字研究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8.近代汉字文字资料的发掘、整理与研究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9.近代汉语时期通俗文献的字词关系研究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10.汉字与历代语文工具书的关系研究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11.濒危汉语方言调查与研究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12.区域性方言语法的调查与比较研究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13.方言文化保护与推广普通话关系研究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14.民族地区汉语变异研究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15.老年语言能力及语言障碍研究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16.语言障碍人群的语言机制与语言能力提升研究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17.当代汉语句法语义的发展变化研究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18.汉语语法理论的自主创新与应用研究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19.中国翻译理论的构建研究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20.新时期口译理论发展研究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21.复合型国际化高端外语人才培养的理论与实践研究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22.外语教学法创新与实践研究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23.新时代外语教材体系与教师发展研究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24.中国特色外语教育教学理论研究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25.汉外双语语料库、数据库建设与应用研究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26.国外语言文字学经典著作翻译及研究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27.面向汉语国际教育的语体研究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28.“一带一路”沿线地区语言调查与研究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29.西南方言特殊语法现象的调查及其形成机制研究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30.重庆方言资源保护的理论、方法与技术研究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31.重庆方言古语词研究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32.重庆少数民族语言历史文献整理与现代语言历史比较研究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33.重庆地区民族语言资源智能化保护与开发研究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34.重庆地区民族语言地理信息系统研究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中国文学</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1.习近平总书记文艺工作系列讲话与新时代中国社会主义文艺新实践新气象新展望研究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2.新时代文学研究中重大理论问题研究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3.新时代中国化马克思主义文论话语体系建构研究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4.新时代中国马克思主义现实主义文学观建构研究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5.文学的民族性与世界性问题研究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6.中国传统文论及其当代价值研究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7.中国古典学学科的理论建设研究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8.中国古代文学文献的分类整理与研究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9.中国古代经学与文学经典化关系研究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10.中国古代汉族文学与少数民族文学关系研究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11.明清文学文献整理与研究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12.中国现当代文学史学的基本问题研究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13.中国现当代文学的区域分布研究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14.新中国以来文艺政策史研究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15.当代现实主义文学流变研究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17.人类命运共同体意识与中国文学的传播研究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18.中国当代文学与优秀传统文化关系研究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19.新世纪20年来的文学思潮研究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20.当代故世作家传记和年谱研究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21.海外中国文学史研究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22.中外文学典籍互译研究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23.“一带一路”沿线国家的文学与文化研究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24.南方丝绸之路视域下的古代文学与文化文献整理研究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25.海外汉学的文献整理与专题研究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26.成渝地区文学共同体研究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27.新中国成立以来重庆文学名家作品研究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28.新中国成立以来重庆本土文学批评研究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29.新中国成立以来重庆地区文学史料学研究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30.重庆当代重要作家作品</w:t>
      </w:r>
      <w:proofErr w:type="gramStart"/>
      <w:r>
        <w:rPr>
          <w:rFonts w:ascii="仿宋_GB2312" w:eastAsia="仿宋_GB2312" w:hAnsi="Times New Roman" w:cs="Times New Roman" w:hint="eastAsia"/>
          <w:color w:val="000000" w:themeColor="text1"/>
          <w:sz w:val="32"/>
          <w:szCs w:val="32"/>
        </w:rPr>
        <w:t>外译与国际</w:t>
      </w:r>
      <w:proofErr w:type="gramEnd"/>
      <w:r>
        <w:rPr>
          <w:rFonts w:ascii="仿宋_GB2312" w:eastAsia="仿宋_GB2312" w:hAnsi="Times New Roman" w:cs="Times New Roman" w:hint="eastAsia"/>
          <w:color w:val="000000" w:themeColor="text1"/>
          <w:sz w:val="32"/>
          <w:szCs w:val="32"/>
        </w:rPr>
        <w:t>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31.重庆乡土文学的生成机制与发展演变研究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32.重庆地区少数民族口头文学（民间文学）资料收集整理与研究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33.重庆地区少数民族诗歌格律研究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34.重庆地区少数民族神话研究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35.重庆地区少数民族文学资源开发与政策研究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36.抗战时期重庆文学名家和作品研究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外国文学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1.外国文学中的命运共同体研究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2.外国文学史书写方法研究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3.外国文学学科建制与政策综合研究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4.外国文学语文学研究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5.外国文学文献学翻译研究</w:t>
      </w:r>
    </w:p>
    <w:p w:rsidR="00C46CB8" w:rsidRDefault="00640CC4">
      <w:pPr>
        <w:widowControl w:val="0"/>
        <w:spacing w:line="360" w:lineRule="auto"/>
        <w:ind w:left="378" w:hangingChars="118" w:hanging="378"/>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6.外国文学理论流派、思潮及重要批评家研究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7.外国民间文学研究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8.外国网络文学研究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9.外国现当代儿童文学研究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10.外国影视文学研究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11.外国现当代海洋文学研究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12.外国当代纪实文学研究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13.外国现当代科幻文学研究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14.国外马克思主义文艺理论研究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15.从文艺复兴到启蒙运动文学研究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16.“一带一路”沿线国家文学史书写</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17.比较文学方法研究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18.非洲文学及非洲土著语言、文学研究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19.近现代南亚东南亚文学研究（按国别、区域申报）</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19.中东欧现当代文学研究（按国别、区域申报）</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20.斯拉夫语系国家与中亚五国当代文学研究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Times New Roman" w:hint="eastAsia"/>
          <w:color w:val="000000" w:themeColor="text1"/>
          <w:sz w:val="32"/>
          <w:szCs w:val="32"/>
        </w:rPr>
        <w:lastRenderedPageBreak/>
        <w:t>21.欧美国家的文学政策与国家意识形态研究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22.中国著名现代外国文学学者研究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23.大数据时代的数字人文与外国文学研究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24.跨媒介的外国文学研究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25.人工智能与外国文学研究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Times New Roman" w:hint="eastAsia"/>
          <w:color w:val="000000" w:themeColor="text1"/>
          <w:sz w:val="32"/>
          <w:szCs w:val="32"/>
        </w:rPr>
        <w:t>26.国外重要文学期刊研究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艺术学</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1.习近平新时代中国特色社会主义文化艺术重要论述研究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2.马克思主义艺术理论继承与发展研究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3.新时代构建人类命运共同体的文化战略研究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仿宋_GB2312" w:cs="仿宋_GB2312" w:hint="eastAsia"/>
          <w:color w:val="000000" w:themeColor="text1"/>
          <w:sz w:val="32"/>
          <w:szCs w:val="32"/>
        </w:rPr>
        <w:t>4.推进文化和旅游治理体系和治理能力现代化研究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5.中国传统艺术创造性转化与创新性发展研究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6.中华优秀传统音乐文化的传承与创新研究</w:t>
      </w:r>
    </w:p>
    <w:p w:rsidR="00C46CB8" w:rsidRDefault="00640CC4">
      <w:pPr>
        <w:widowControl w:val="0"/>
        <w:tabs>
          <w:tab w:val="left" w:pos="0"/>
        </w:tabs>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7.中国艺术设计产业发展研究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8.当代中国艺术的伦理问题研究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9.世界各国文化和旅游法律、政策比较研究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10.世界文化思潮及文化热点问题研究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11.中外电影院线建设与影院运营模式比较研究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12.中外电影市场的大数据建设研究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13.中华音乐文化海外传播、传承研究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14.中国戏剧域外传播研究</w:t>
      </w:r>
    </w:p>
    <w:p w:rsidR="00C46CB8" w:rsidRDefault="00640CC4">
      <w:pPr>
        <w:widowControl w:val="0"/>
        <w:tabs>
          <w:tab w:val="left" w:pos="0"/>
        </w:tabs>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15.美术交流与人类命运共同体建构研究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18.全球视野中的中国美术研究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17.非物质文化遗产保护和利用的海外经验和经典案例研究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18.新媒体技术与戏剧艺术创新发展研究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19.“互联网+”发展模式对电影创作及产业的影响研究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20.网络电影、网络剧与网络综艺现状及发展研究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21.媒介融合环境下的广播艺术发展研究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22.人工智能在影视产业的应用研究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23.基于新技术的文化产品设计研究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24.促进数字创意产业发展的政策研究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Times New Roman" w:cs="宋体" w:hint="eastAsia"/>
          <w:bCs/>
          <w:color w:val="000000" w:themeColor="text1"/>
          <w:kern w:val="0"/>
          <w:sz w:val="32"/>
          <w:szCs w:val="32"/>
        </w:rPr>
        <w:t>25.西南地区</w:t>
      </w:r>
      <w:r>
        <w:rPr>
          <w:rFonts w:ascii="仿宋_GB2312" w:eastAsia="仿宋_GB2312" w:hAnsi="仿宋_GB2312" w:cs="仿宋_GB2312" w:hint="eastAsia"/>
          <w:color w:val="000000" w:themeColor="text1"/>
          <w:sz w:val="32"/>
          <w:szCs w:val="32"/>
        </w:rPr>
        <w:t>艺术史研究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Times New Roman" w:cs="宋体" w:hint="eastAsia"/>
          <w:bCs/>
          <w:color w:val="000000" w:themeColor="text1"/>
          <w:kern w:val="0"/>
          <w:sz w:val="32"/>
          <w:szCs w:val="32"/>
        </w:rPr>
        <w:t>26.西南地区</w:t>
      </w:r>
      <w:r>
        <w:rPr>
          <w:rFonts w:ascii="仿宋_GB2312" w:eastAsia="仿宋_GB2312" w:hAnsi="仿宋_GB2312" w:cs="仿宋_GB2312" w:hint="eastAsia"/>
          <w:color w:val="000000" w:themeColor="text1"/>
          <w:sz w:val="32"/>
          <w:szCs w:val="32"/>
        </w:rPr>
        <w:t>艺术批评史研究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27.新时代成渝地区文化和旅游区域协同发展研究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28.重庆抗战文化资源保护研究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29.巴渝文化旅游走廊建设研究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30.重庆红色音乐文化研究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31.重庆革命题材美术作品研究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32.重庆影视、动漫、新媒体艺术与产业影响力研究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33.重庆文化和旅游市场管理理论和政策研究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34.重庆戏曲传承发展研究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35.重庆戏剧产业与市场研究</w:t>
      </w:r>
    </w:p>
    <w:p w:rsidR="00C46CB8" w:rsidRDefault="00640CC4">
      <w:pPr>
        <w:widowControl w:val="0"/>
        <w:spacing w:line="580" w:lineRule="exact"/>
        <w:ind w:firstLineChars="0" w:firstLine="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36.重庆旅游文</w:t>
      </w:r>
      <w:proofErr w:type="gramStart"/>
      <w:r>
        <w:rPr>
          <w:rFonts w:ascii="仿宋_GB2312" w:eastAsia="仿宋_GB2312" w:hAnsi="仿宋_GB2312" w:cs="仿宋_GB2312" w:hint="eastAsia"/>
          <w:color w:val="000000" w:themeColor="text1"/>
          <w:sz w:val="32"/>
          <w:szCs w:val="32"/>
        </w:rPr>
        <w:t>创产品</w:t>
      </w:r>
      <w:proofErr w:type="gramEnd"/>
      <w:r>
        <w:rPr>
          <w:rFonts w:ascii="仿宋_GB2312" w:eastAsia="仿宋_GB2312" w:hAnsi="仿宋_GB2312" w:cs="仿宋_GB2312" w:hint="eastAsia"/>
          <w:color w:val="000000" w:themeColor="text1"/>
          <w:sz w:val="32"/>
          <w:szCs w:val="32"/>
        </w:rPr>
        <w:t>设计研究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37.重庆城市公共环境景观设计研究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38.重庆近现代美术研究</w:t>
      </w:r>
    </w:p>
    <w:p w:rsidR="00C46CB8" w:rsidRDefault="00640CC4">
      <w:pPr>
        <w:spacing w:line="600" w:lineRule="exact"/>
        <w:ind w:firstLineChars="0" w:firstLine="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39.重庆地区少数民族民间舞蹈研究</w:t>
      </w:r>
    </w:p>
    <w:p w:rsidR="00C46CB8" w:rsidRDefault="00640CC4">
      <w:pPr>
        <w:spacing w:line="600" w:lineRule="exact"/>
        <w:ind w:firstLineChars="0" w:firstLine="0"/>
        <w:jc w:val="left"/>
        <w:rPr>
          <w:rFonts w:ascii="仿宋_GB2312" w:eastAsia="仿宋_GB2312" w:hAnsi="Times New Roman" w:cs="宋体"/>
          <w:bCs/>
          <w:color w:val="000000" w:themeColor="text1"/>
          <w:kern w:val="0"/>
          <w:sz w:val="32"/>
          <w:szCs w:val="32"/>
        </w:rPr>
      </w:pPr>
      <w:r>
        <w:rPr>
          <w:rFonts w:ascii="仿宋_GB2312" w:eastAsia="仿宋_GB2312" w:hAnsi="Times New Roman" w:cs="宋体" w:hint="eastAsia"/>
          <w:bCs/>
          <w:color w:val="000000" w:themeColor="text1"/>
          <w:kern w:val="0"/>
          <w:sz w:val="32"/>
          <w:szCs w:val="32"/>
        </w:rPr>
        <w:t>40.重庆民间艺术藏品研究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仿宋_GB2312" w:eastAsia="仿宋_GB2312" w:hAnsi="Times New Roman" w:cs="Times New Roman"/>
          <w:color w:val="000000" w:themeColor="text1"/>
          <w:sz w:val="32"/>
          <w:szCs w:val="32"/>
        </w:rPr>
      </w:pPr>
      <w:r>
        <w:rPr>
          <w:rFonts w:ascii="黑体" w:eastAsia="黑体" w:hAnsi="黑体" w:cs="宋体" w:hint="eastAsia"/>
          <w:color w:val="000000" w:themeColor="text1"/>
          <w:kern w:val="0"/>
          <w:sz w:val="32"/>
          <w:szCs w:val="32"/>
        </w:rPr>
        <w:lastRenderedPageBreak/>
        <w:t>历史学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1.新时代史学思想研究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2.新时代中国通史编纂的指导思想和学术体系研究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3.社会形态理论与中国马克思主义史学学术体系研究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4.马克思主义中国化与中国民族史学理论体系构建研究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5.中国近现代史基本问题研究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6.中国封建社会发展规律研究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7.中国古代皇权政治演变研究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8.新中国治理体系和治理能力现代化研究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9.新中国国有企业发展与改革口述历史搜集、整理与研究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10.新中国对外人文交流史研究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11.中国古代国家治理体系及治理经验研究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12.中国古代赋役制度与社会阶层研究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13.中国古代的社会组织与基层政权研究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14.中国古代礼制与社会变迁研究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15.中国古代粮食生产与经营管理研究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16.甲骨文的文明史价值研究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17.罕见经学文献整理与研究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18.古代中外科学技术交流研究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19.先秦古国与中国文明起源研究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20.汉晋之间学术与宗教研究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21.长江流域生态环境变化与文化变迁研究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22.明代中国与西南诸国关系研究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23.明清时期监察制度研究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24.明清民间组织与地方社会研究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25.晚清理学的思想转型与政治实践研究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26.近代中国制度体系的由来与变迁研究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27.近代西南地区城乡关系研究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28.近代日记中的生活史资料整理与研究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29.20世纪中国家庭变迁与妇女解放研究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30.局部抗战与全面抗战社会历程研究（1931-1945）</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31.抗战时期中共统一战线政策研究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32.中华人民共和国国防史研究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33.联合国中国代表权问题研究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34.当代西南地区农村基层社会史资料的收集、整理与研究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35.唯物史观的世界历史理论与全球化问题研究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36.20世纪以来世界历史及百年未有之大变局研究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37.当代国际热点问题的历史考察</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38.美国历史上对外战略和外交政策形成机制研究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39.欧美发达国家历史上的技术引进和知识产权问题研究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40.近代以来中东地区国际关系史</w:t>
      </w:r>
    </w:p>
    <w:p w:rsidR="00C46CB8" w:rsidRDefault="00640CC4">
      <w:pPr>
        <w:widowControl w:val="0"/>
        <w:spacing w:line="360" w:lineRule="auto"/>
        <w:ind w:left="502" w:hangingChars="157" w:hanging="502"/>
        <w:rPr>
          <w:rFonts w:ascii="黑体" w:eastAsia="黑体" w:hAnsi="黑体" w:cs="宋体"/>
          <w:color w:val="000000" w:themeColor="text1"/>
          <w:kern w:val="0"/>
          <w:sz w:val="32"/>
          <w:szCs w:val="32"/>
        </w:rPr>
      </w:pPr>
      <w:r>
        <w:rPr>
          <w:rFonts w:ascii="仿宋_GB2312" w:eastAsia="仿宋_GB2312" w:hAnsi="Times New Roman" w:cs="Times New Roman" w:hint="eastAsia"/>
          <w:color w:val="000000" w:themeColor="text1"/>
          <w:sz w:val="32"/>
          <w:szCs w:val="32"/>
        </w:rPr>
        <w:t>41.近代以来西方国家社会问题及其治理研究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42.中国共产党在抗战大后方的历史研究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43.抗战时期重庆地方党组织研究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44.中共中央南方局与大后方统一战线研究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45.八路军驻重庆办事处研究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46.抗战时期红岩精神研究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47.抗战时期重庆工人、青年、妇女工作研究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48.抗战时期重庆农村状况研究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考古学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1.考古学数字博物馆建设研究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2.公共考古的理念、方针、方法与途径研究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3.古代西南地区人群迁徙的考古学研究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4.西南地区文明化进程与模式、特点研究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5.史前时期长江流域聚落与社会组织结构研究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6.西南地区史前文化交流互动关系研究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7.西南地区古代环境变化与文明演进关系研究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8.西南地区古代手工业研究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9.自然科学技术手段在考古学研究中的应用研究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10.中国考古学史研究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11.考古学理论与方法研究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12.西南地区古代城市研究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13.西南地区古代墓葬制度研究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14.中国古代礼制的起源与发展的考古学研究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15.南方丝绸之路的考古学研究</w:t>
      </w:r>
    </w:p>
    <w:p w:rsidR="00C46CB8" w:rsidRDefault="00640CC4">
      <w:pPr>
        <w:widowControl w:val="0"/>
        <w:spacing w:line="360" w:lineRule="auto"/>
        <w:ind w:left="502" w:hangingChars="157" w:hanging="502"/>
        <w:rPr>
          <w:rFonts w:ascii="黑体" w:eastAsia="黑体" w:hAnsi="黑体" w:cs="宋体"/>
          <w:color w:val="000000" w:themeColor="text1"/>
          <w:kern w:val="0"/>
          <w:sz w:val="32"/>
          <w:szCs w:val="32"/>
        </w:rPr>
      </w:pPr>
      <w:r>
        <w:rPr>
          <w:rFonts w:ascii="仿宋_GB2312" w:eastAsia="仿宋_GB2312" w:hAnsi="Times New Roman" w:cs="Times New Roman" w:hint="eastAsia"/>
          <w:color w:val="000000" w:themeColor="text1"/>
          <w:sz w:val="32"/>
          <w:szCs w:val="32"/>
        </w:rPr>
        <w:t>16.重庆重要考古遗址、墓葬及出土文字资料的整理与研究</w:t>
      </w:r>
    </w:p>
    <w:p w:rsidR="00C46CB8" w:rsidRDefault="00640CC4">
      <w:pPr>
        <w:widowControl w:val="0"/>
        <w:spacing w:line="360" w:lineRule="auto"/>
        <w:ind w:left="502" w:hangingChars="157" w:hanging="502"/>
        <w:rPr>
          <w:color w:val="000000" w:themeColor="text1"/>
        </w:rPr>
      </w:pPr>
      <w:r>
        <w:rPr>
          <w:rFonts w:ascii="仿宋_GB2312" w:eastAsia="仿宋_GB2312" w:hAnsi="Times New Roman" w:cs="Times New Roman" w:hint="eastAsia"/>
          <w:color w:val="000000" w:themeColor="text1"/>
          <w:sz w:val="32"/>
          <w:szCs w:val="32"/>
        </w:rPr>
        <w:t>17.重庆考古遗址博物馆和考古遗址公园建设研究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18.重庆遗迹与文物的保护、修复方法研究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19.重庆考古学资料数据库建设</w:t>
      </w:r>
    </w:p>
    <w:p w:rsidR="00C46CB8" w:rsidRDefault="00C46CB8">
      <w:pPr>
        <w:ind w:firstLineChars="0" w:firstLine="0"/>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经济学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1.习近平新时代中国特色社会主义经济思想体系研究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2.习近平总书记关于建设现代化经济体系重要论述研究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3.习近平总书记关于构建“双循环”发展新格局重要论述研究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4.“双循环”新格局与“十四五”期间高质量发展研究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5.“十四五”期间新发展理念引领经济高质量发展研究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6.中国特色社会主义政治经济学的范式研究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7.新产业、新业态、新模式的理论和政策研究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8.推动先进制造业和现代化服务业深度融合发展研究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9.国民共进的企业改革与发展战略与模式研究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10.健全现代金融体系研究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11.防范金融风险与稳定经济增长关系研究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12.做好金融稳定和风险处置研究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13.数字货币发展趋势和应用风险研究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14.建立健全城乡融合发展体制机制研究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w:t>
      </w:r>
      <w:r>
        <w:rPr>
          <w:rFonts w:ascii="仿宋_GB2312" w:eastAsia="仿宋_GB2312" w:hAnsi="Times New Roman" w:cs="Times New Roman" w:hint="eastAsia"/>
          <w:color w:val="000000" w:themeColor="text1"/>
          <w:sz w:val="32"/>
          <w:szCs w:val="32"/>
        </w:rPr>
        <w:tab/>
        <w:t>户籍制度改革与新型城镇</w:t>
      </w:r>
      <w:proofErr w:type="gramStart"/>
      <w:r>
        <w:rPr>
          <w:rFonts w:ascii="仿宋_GB2312" w:eastAsia="仿宋_GB2312" w:hAnsi="Times New Roman" w:cs="Times New Roman" w:hint="eastAsia"/>
          <w:color w:val="000000" w:themeColor="text1"/>
          <w:sz w:val="32"/>
          <w:szCs w:val="32"/>
        </w:rPr>
        <w:t>化进展</w:t>
      </w:r>
      <w:proofErr w:type="gramEnd"/>
      <w:r>
        <w:rPr>
          <w:rFonts w:ascii="仿宋_GB2312" w:eastAsia="仿宋_GB2312" w:hAnsi="Times New Roman" w:cs="Times New Roman" w:hint="eastAsia"/>
          <w:color w:val="000000" w:themeColor="text1"/>
          <w:sz w:val="32"/>
          <w:szCs w:val="32"/>
        </w:rPr>
        <w:t>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w:t>
      </w:r>
      <w:r>
        <w:rPr>
          <w:rFonts w:ascii="仿宋_GB2312" w:eastAsia="仿宋_GB2312" w:hAnsi="Times New Roman" w:cs="Times New Roman" w:hint="eastAsia"/>
          <w:color w:val="000000" w:themeColor="text1"/>
          <w:sz w:val="32"/>
          <w:szCs w:val="32"/>
        </w:rPr>
        <w:tab/>
        <w:t>促进农民工市民化的助</w:t>
      </w:r>
      <w:proofErr w:type="gramStart"/>
      <w:r>
        <w:rPr>
          <w:rFonts w:ascii="仿宋_GB2312" w:eastAsia="仿宋_GB2312" w:hAnsi="Times New Roman" w:cs="Times New Roman" w:hint="eastAsia"/>
          <w:color w:val="000000" w:themeColor="text1"/>
          <w:sz w:val="32"/>
          <w:szCs w:val="32"/>
        </w:rPr>
        <w:t>推机制</w:t>
      </w:r>
      <w:proofErr w:type="gramEnd"/>
      <w:r>
        <w:rPr>
          <w:rFonts w:ascii="仿宋_GB2312" w:eastAsia="仿宋_GB2312" w:hAnsi="Times New Roman" w:cs="Times New Roman" w:hint="eastAsia"/>
          <w:color w:val="000000" w:themeColor="text1"/>
          <w:sz w:val="32"/>
          <w:szCs w:val="32"/>
        </w:rPr>
        <w:t>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w:t>
      </w:r>
      <w:r>
        <w:rPr>
          <w:rFonts w:ascii="仿宋_GB2312" w:eastAsia="仿宋_GB2312" w:hAnsi="Times New Roman" w:cs="Times New Roman" w:hint="eastAsia"/>
          <w:color w:val="000000" w:themeColor="text1"/>
          <w:sz w:val="32"/>
          <w:szCs w:val="32"/>
        </w:rPr>
        <w:tab/>
        <w:t>城镇相对贫困与扶贫研究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18.乡村治理体系与治理能力现代化研究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19.新形势下保障我国粮食生产安全的长效机制与对策研究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20.数字经济与现代化经济体系研究</w:t>
      </w:r>
    </w:p>
    <w:p w:rsidR="00C46CB8" w:rsidRDefault="00640CC4">
      <w:pPr>
        <w:widowControl w:val="0"/>
        <w:spacing w:line="360" w:lineRule="auto"/>
        <w:ind w:leftChars="-157" w:left="-330" w:firstLineChars="100" w:firstLine="32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21.平台经济发展对产业结构升级的影响研究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22.人工智能等新技术对就业的影响和对策研究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23.我国区块链技术现状和发展趋势研究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24.区块链技术与实体经济深度融合研究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25.数字经济下的税收研究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w:t>
      </w:r>
      <w:r>
        <w:rPr>
          <w:rFonts w:ascii="仿宋_GB2312" w:eastAsia="仿宋_GB2312" w:hAnsi="Times New Roman" w:cs="Times New Roman" w:hint="eastAsia"/>
          <w:color w:val="000000" w:themeColor="text1"/>
          <w:sz w:val="32"/>
          <w:szCs w:val="32"/>
        </w:rPr>
        <w:tab/>
        <w:t>长江流域生态保护与高质量发展研究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w:t>
      </w:r>
      <w:r>
        <w:rPr>
          <w:rFonts w:ascii="仿宋_GB2312" w:eastAsia="仿宋_GB2312" w:hAnsi="Times New Roman" w:cs="Times New Roman" w:hint="eastAsia"/>
          <w:color w:val="000000" w:themeColor="text1"/>
          <w:sz w:val="32"/>
          <w:szCs w:val="32"/>
        </w:rPr>
        <w:tab/>
        <w:t>长江经济带生态补偿的激励机制研究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28.长江上游生态屏障区的绿色发展研究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29.三峡库区的特色优势产业发展研究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30.西部陆海新通道的建设研究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31.成渝地区双城经济圈在新一轮西部大开发中的辐射带动作用研究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32.成渝地区双城经济圈建设中利益分享机制研究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33.成渝地区双城经济圈建设中产业协同研究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34.成渝地区双城经济圈与东南亚开放合作研究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35.推动成渝地区双城经济</w:t>
      </w:r>
      <w:proofErr w:type="gramStart"/>
      <w:r>
        <w:rPr>
          <w:rFonts w:ascii="仿宋_GB2312" w:eastAsia="仿宋_GB2312" w:hAnsi="Times New Roman" w:cs="Times New Roman" w:hint="eastAsia"/>
          <w:color w:val="000000" w:themeColor="text1"/>
          <w:sz w:val="32"/>
          <w:szCs w:val="32"/>
        </w:rPr>
        <w:t>圈基础</w:t>
      </w:r>
      <w:proofErr w:type="gramEnd"/>
      <w:r>
        <w:rPr>
          <w:rFonts w:ascii="仿宋_GB2312" w:eastAsia="仿宋_GB2312" w:hAnsi="Times New Roman" w:cs="Times New Roman" w:hint="eastAsia"/>
          <w:color w:val="000000" w:themeColor="text1"/>
          <w:sz w:val="32"/>
          <w:szCs w:val="32"/>
        </w:rPr>
        <w:t>设施互联互通研究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36.成渝地区双城经济</w:t>
      </w:r>
      <w:proofErr w:type="gramStart"/>
      <w:r>
        <w:rPr>
          <w:rFonts w:ascii="仿宋_GB2312" w:eastAsia="仿宋_GB2312" w:hAnsi="Times New Roman" w:cs="Times New Roman" w:hint="eastAsia"/>
          <w:color w:val="000000" w:themeColor="text1"/>
          <w:sz w:val="32"/>
          <w:szCs w:val="32"/>
        </w:rPr>
        <w:t>圈科技</w:t>
      </w:r>
      <w:proofErr w:type="gramEnd"/>
      <w:r>
        <w:rPr>
          <w:rFonts w:ascii="仿宋_GB2312" w:eastAsia="仿宋_GB2312" w:hAnsi="Times New Roman" w:cs="Times New Roman" w:hint="eastAsia"/>
          <w:color w:val="000000" w:themeColor="text1"/>
          <w:sz w:val="32"/>
          <w:szCs w:val="32"/>
        </w:rPr>
        <w:t>金融的耦合与协同机制研究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37.双循环背景下成渝双城经济</w:t>
      </w:r>
      <w:proofErr w:type="gramStart"/>
      <w:r>
        <w:rPr>
          <w:rFonts w:ascii="仿宋_GB2312" w:eastAsia="仿宋_GB2312" w:hAnsi="Times New Roman" w:cs="Times New Roman" w:hint="eastAsia"/>
          <w:color w:val="000000" w:themeColor="text1"/>
          <w:sz w:val="32"/>
          <w:szCs w:val="32"/>
        </w:rPr>
        <w:t>圈金融</w:t>
      </w:r>
      <w:proofErr w:type="gramEnd"/>
      <w:r>
        <w:rPr>
          <w:rFonts w:ascii="仿宋_GB2312" w:eastAsia="仿宋_GB2312" w:hAnsi="Times New Roman" w:cs="Times New Roman" w:hint="eastAsia"/>
          <w:color w:val="000000" w:themeColor="text1"/>
          <w:sz w:val="32"/>
          <w:szCs w:val="32"/>
        </w:rPr>
        <w:t>空间集聚的体系优化研究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38.川渝合作打造内陆开放战略高地研究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39.万达开川渝统筹发展示范区建设研究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40.重庆市在新时代西部大开发中的支撑作用研究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41.重庆市在共建“一带一路”中的带动作用研究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42.重庆市在推进长江经济带绿色发展中的示范作用研究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43.“十四五”时期重庆经济社会发展关键问题研究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44.“十四五”时期重庆产业结构优化调整和转型升级研究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45.“十四五”时期重庆区域协调发展机制和政策研究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46.“十四五”时期重庆深化重点领域体制改革研究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47.“十四五”时期重庆民营经济发展研究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48.“十四五”时期重庆经济发展动能转换和新动能培育研究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49.“双循环”战略视角下重庆经济高质量发展研究</w:t>
      </w:r>
    </w:p>
    <w:p w:rsidR="00E07E3F" w:rsidRPr="00E07E3F" w:rsidRDefault="00E07E3F" w:rsidP="00E07E3F">
      <w:pPr>
        <w:widowControl w:val="0"/>
        <w:spacing w:line="360" w:lineRule="auto"/>
        <w:ind w:left="502" w:hangingChars="157" w:hanging="502"/>
        <w:rPr>
          <w:rFonts w:ascii="仿宋_GB2312" w:eastAsia="仿宋_GB2312" w:hAnsi="Times New Roman" w:cs="Times New Roman"/>
          <w:sz w:val="32"/>
          <w:szCs w:val="32"/>
        </w:rPr>
      </w:pPr>
      <w:r w:rsidRPr="00E07E3F">
        <w:rPr>
          <w:rFonts w:ascii="仿宋_GB2312" w:eastAsia="仿宋_GB2312" w:hAnsi="Times New Roman" w:cs="Times New Roman" w:hint="eastAsia"/>
          <w:sz w:val="32"/>
          <w:szCs w:val="32"/>
        </w:rPr>
        <w:t>50.常态化</w:t>
      </w:r>
      <w:bookmarkStart w:id="0" w:name="_GoBack"/>
      <w:r w:rsidRPr="00E07E3F">
        <w:rPr>
          <w:rFonts w:ascii="仿宋_GB2312" w:eastAsia="仿宋_GB2312" w:hAnsi="Times New Roman" w:cs="Times New Roman" w:hint="eastAsia"/>
          <w:sz w:val="32"/>
          <w:szCs w:val="32"/>
        </w:rPr>
        <w:t>疫情</w:t>
      </w:r>
      <w:bookmarkEnd w:id="0"/>
      <w:r w:rsidRPr="00E07E3F">
        <w:rPr>
          <w:rFonts w:ascii="仿宋_GB2312" w:eastAsia="仿宋_GB2312" w:hAnsi="Times New Roman" w:cs="Times New Roman" w:hint="eastAsia"/>
          <w:sz w:val="32"/>
          <w:szCs w:val="32"/>
        </w:rPr>
        <w:t>防控下重庆经济高质量发展研究</w:t>
      </w:r>
    </w:p>
    <w:p w:rsidR="00E07E3F" w:rsidRPr="00E07E3F" w:rsidRDefault="00E07E3F" w:rsidP="00E07E3F">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51.</w:t>
      </w:r>
      <w:r w:rsidRPr="00E07E3F">
        <w:rPr>
          <w:rFonts w:ascii="仿宋_GB2312" w:eastAsia="仿宋_GB2312" w:hAnsi="Times New Roman" w:cs="Times New Roman" w:hint="eastAsia"/>
          <w:sz w:val="32"/>
          <w:szCs w:val="32"/>
        </w:rPr>
        <w:t>常态化疫情防控下重庆重点产业发展研究</w:t>
      </w:r>
    </w:p>
    <w:p w:rsidR="00E07E3F" w:rsidRPr="00E07E3F" w:rsidRDefault="00E07E3F" w:rsidP="00E07E3F">
      <w:pPr>
        <w:widowControl w:val="0"/>
        <w:spacing w:line="360" w:lineRule="auto"/>
        <w:ind w:left="502" w:hangingChars="157" w:hanging="502"/>
        <w:rPr>
          <w:rFonts w:ascii="仿宋_GB2312" w:eastAsia="仿宋_GB2312" w:hAnsi="Times New Roman" w:cs="Times New Roman"/>
          <w:sz w:val="32"/>
          <w:szCs w:val="32"/>
        </w:rPr>
      </w:pPr>
      <w:r w:rsidRPr="00E07E3F">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2.</w:t>
      </w:r>
      <w:r w:rsidRPr="00E07E3F">
        <w:rPr>
          <w:rFonts w:ascii="仿宋_GB2312" w:eastAsia="仿宋_GB2312" w:hAnsi="Times New Roman" w:cs="Times New Roman" w:hint="eastAsia"/>
          <w:sz w:val="32"/>
          <w:szCs w:val="32"/>
        </w:rPr>
        <w:t>常态化疫情防控下重庆民营企业发展研究</w:t>
      </w:r>
    </w:p>
    <w:p w:rsidR="00C46CB8" w:rsidRDefault="00E07E3F" w:rsidP="00E07E3F">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53.</w:t>
      </w:r>
      <w:r w:rsidRPr="00E07E3F">
        <w:rPr>
          <w:rFonts w:ascii="仿宋_GB2312" w:eastAsia="仿宋_GB2312" w:hAnsi="Times New Roman" w:cs="Times New Roman" w:hint="eastAsia"/>
          <w:sz w:val="32"/>
          <w:szCs w:val="32"/>
        </w:rPr>
        <w:t>常态化疫情防控下重庆服务业发展研究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54.重庆优化营商环境难点问题研究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55.</w:t>
      </w:r>
      <w:r>
        <w:rPr>
          <w:rFonts w:ascii="仿宋_GB2312" w:eastAsia="仿宋_GB2312" w:hAnsi="Times New Roman" w:cs="Times New Roman" w:hint="eastAsia"/>
          <w:color w:val="000000" w:themeColor="text1"/>
          <w:sz w:val="32"/>
          <w:szCs w:val="32"/>
        </w:rPr>
        <w:tab/>
        <w:t>重庆加快推进“新基建”研究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56.</w:t>
      </w:r>
      <w:r>
        <w:rPr>
          <w:rFonts w:ascii="仿宋_GB2312" w:eastAsia="仿宋_GB2312" w:hAnsi="Times New Roman" w:cs="Times New Roman" w:hint="eastAsia"/>
          <w:color w:val="000000" w:themeColor="text1"/>
          <w:sz w:val="32"/>
          <w:szCs w:val="32"/>
        </w:rPr>
        <w:tab/>
        <w:t>推进中国西部（重庆）科学城发展研究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57.</w:t>
      </w:r>
      <w:r>
        <w:rPr>
          <w:rFonts w:ascii="仿宋_GB2312" w:eastAsia="仿宋_GB2312" w:hAnsi="Times New Roman" w:cs="Times New Roman" w:hint="eastAsia"/>
          <w:color w:val="000000" w:themeColor="text1"/>
          <w:sz w:val="32"/>
          <w:szCs w:val="32"/>
        </w:rPr>
        <w:tab/>
        <w:t>重庆主城新区推进</w:t>
      </w:r>
      <w:proofErr w:type="gramStart"/>
      <w:r>
        <w:rPr>
          <w:rFonts w:ascii="仿宋_GB2312" w:eastAsia="仿宋_GB2312" w:hAnsi="Times New Roman" w:cs="Times New Roman" w:hint="eastAsia"/>
          <w:color w:val="000000" w:themeColor="text1"/>
          <w:sz w:val="32"/>
          <w:szCs w:val="32"/>
        </w:rPr>
        <w:t>产城融合</w:t>
      </w:r>
      <w:proofErr w:type="gramEnd"/>
      <w:r>
        <w:rPr>
          <w:rFonts w:ascii="仿宋_GB2312" w:eastAsia="仿宋_GB2312" w:hAnsi="Times New Roman" w:cs="Times New Roman" w:hint="eastAsia"/>
          <w:color w:val="000000" w:themeColor="text1"/>
          <w:sz w:val="32"/>
          <w:szCs w:val="32"/>
        </w:rPr>
        <w:t>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58.重庆主城经济集聚效应与辐射效应研究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59.</w:t>
      </w:r>
      <w:r>
        <w:rPr>
          <w:rFonts w:ascii="仿宋_GB2312" w:eastAsia="仿宋_GB2312" w:hAnsi="Times New Roman" w:cs="Times New Roman" w:hint="eastAsia"/>
          <w:color w:val="000000" w:themeColor="text1"/>
          <w:sz w:val="32"/>
          <w:szCs w:val="32"/>
        </w:rPr>
        <w:tab/>
        <w:t>重庆打造内陆国际金融中心研究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60.</w:t>
      </w:r>
      <w:r>
        <w:rPr>
          <w:rFonts w:ascii="仿宋_GB2312" w:eastAsia="仿宋_GB2312" w:hAnsi="Times New Roman" w:cs="Times New Roman" w:hint="eastAsia"/>
          <w:color w:val="000000" w:themeColor="text1"/>
          <w:sz w:val="32"/>
          <w:szCs w:val="32"/>
        </w:rPr>
        <w:tab/>
        <w:t>重庆“一区两群”协调发展研究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61.</w:t>
      </w:r>
      <w:r>
        <w:rPr>
          <w:rFonts w:ascii="仿宋_GB2312" w:eastAsia="仿宋_GB2312" w:hAnsi="Times New Roman" w:cs="Times New Roman" w:hint="eastAsia"/>
          <w:color w:val="000000" w:themeColor="text1"/>
          <w:sz w:val="32"/>
          <w:szCs w:val="32"/>
        </w:rPr>
        <w:tab/>
        <w:t>重庆数字经济促进经济发展与转型研究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62.</w:t>
      </w:r>
      <w:r>
        <w:rPr>
          <w:rFonts w:ascii="仿宋_GB2312" w:eastAsia="仿宋_GB2312" w:hAnsi="Times New Roman" w:cs="Times New Roman" w:hint="eastAsia"/>
          <w:color w:val="000000" w:themeColor="text1"/>
          <w:sz w:val="32"/>
          <w:szCs w:val="32"/>
        </w:rPr>
        <w:tab/>
        <w:t>重庆绿色金融与乡村振兴战略协调发展研究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63.</w:t>
      </w:r>
      <w:r>
        <w:rPr>
          <w:rFonts w:ascii="仿宋_GB2312" w:eastAsia="仿宋_GB2312" w:hAnsi="Times New Roman" w:cs="Times New Roman" w:hint="eastAsia"/>
          <w:color w:val="000000" w:themeColor="text1"/>
          <w:sz w:val="32"/>
          <w:szCs w:val="32"/>
        </w:rPr>
        <w:tab/>
        <w:t>重庆巩固脱贫攻坚成果研究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64.</w:t>
      </w:r>
      <w:r>
        <w:rPr>
          <w:rFonts w:ascii="仿宋_GB2312" w:eastAsia="仿宋_GB2312" w:hAnsi="Times New Roman" w:cs="Times New Roman" w:hint="eastAsia"/>
          <w:color w:val="000000" w:themeColor="text1"/>
          <w:sz w:val="32"/>
          <w:szCs w:val="32"/>
        </w:rPr>
        <w:tab/>
        <w:t>全球</w:t>
      </w:r>
      <w:proofErr w:type="gramStart"/>
      <w:r>
        <w:rPr>
          <w:rFonts w:ascii="仿宋_GB2312" w:eastAsia="仿宋_GB2312" w:hAnsi="Times New Roman" w:cs="Times New Roman" w:hint="eastAsia"/>
          <w:color w:val="000000" w:themeColor="text1"/>
          <w:sz w:val="32"/>
          <w:szCs w:val="32"/>
        </w:rPr>
        <w:t>价值链下重庆</w:t>
      </w:r>
      <w:proofErr w:type="gramEnd"/>
      <w:r>
        <w:rPr>
          <w:rFonts w:ascii="仿宋_GB2312" w:eastAsia="仿宋_GB2312" w:hAnsi="Times New Roman" w:cs="Times New Roman" w:hint="eastAsia"/>
          <w:color w:val="000000" w:themeColor="text1"/>
          <w:sz w:val="32"/>
          <w:szCs w:val="32"/>
        </w:rPr>
        <w:t>现代产业体系构建研究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65.</w:t>
      </w:r>
      <w:r>
        <w:rPr>
          <w:rFonts w:ascii="仿宋_GB2312" w:eastAsia="仿宋_GB2312" w:hAnsi="Times New Roman" w:cs="Times New Roman" w:hint="eastAsia"/>
          <w:color w:val="000000" w:themeColor="text1"/>
          <w:sz w:val="32"/>
          <w:szCs w:val="32"/>
        </w:rPr>
        <w:tab/>
        <w:t>5G背景下重庆新兴产业发展路径选择研究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66.</w:t>
      </w:r>
      <w:r>
        <w:rPr>
          <w:rFonts w:ascii="仿宋_GB2312" w:eastAsia="仿宋_GB2312" w:hAnsi="Times New Roman" w:cs="Times New Roman" w:hint="eastAsia"/>
          <w:color w:val="000000" w:themeColor="text1"/>
          <w:sz w:val="32"/>
          <w:szCs w:val="32"/>
        </w:rPr>
        <w:tab/>
        <w:t>重庆物流业高质量发展研究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67.</w:t>
      </w:r>
      <w:r>
        <w:rPr>
          <w:rFonts w:ascii="仿宋_GB2312" w:eastAsia="仿宋_GB2312" w:hAnsi="Times New Roman" w:cs="Times New Roman" w:hint="eastAsia"/>
          <w:color w:val="000000" w:themeColor="text1"/>
          <w:sz w:val="32"/>
          <w:szCs w:val="32"/>
        </w:rPr>
        <w:tab/>
        <w:t>重庆夜间经济发展研究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68.重庆中医药产业发展研究</w:t>
      </w:r>
      <w:r>
        <w:rPr>
          <w:rFonts w:ascii="仿宋_GB2312" w:eastAsia="仿宋_GB2312" w:hAnsi="Times New Roman" w:cs="Times New Roman" w:hint="eastAsia"/>
          <w:color w:val="000000" w:themeColor="text1"/>
          <w:sz w:val="32"/>
          <w:szCs w:val="32"/>
        </w:rPr>
        <w:br w:type="page"/>
      </w: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bookmarkStart w:id="1" w:name="_Toc27042319"/>
      <w:r>
        <w:rPr>
          <w:rFonts w:ascii="黑体" w:eastAsia="黑体" w:hAnsi="黑体" w:cs="宋体" w:hint="eastAsia"/>
          <w:color w:val="000000" w:themeColor="text1"/>
          <w:kern w:val="0"/>
          <w:sz w:val="32"/>
          <w:szCs w:val="32"/>
        </w:rPr>
        <w:lastRenderedPageBreak/>
        <w:t>统计学</w:t>
      </w:r>
      <w:bookmarkEnd w:id="1"/>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1.中国数字经济测度与国际比较研究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2.中国公共服务均等</w:t>
      </w:r>
      <w:proofErr w:type="gramStart"/>
      <w:r>
        <w:rPr>
          <w:rFonts w:ascii="仿宋_GB2312" w:eastAsia="仿宋_GB2312" w:hint="eastAsia"/>
          <w:color w:val="000000" w:themeColor="text1"/>
          <w:sz w:val="32"/>
          <w:szCs w:val="32"/>
        </w:rPr>
        <w:t>化指标</w:t>
      </w:r>
      <w:proofErr w:type="gramEnd"/>
      <w:r>
        <w:rPr>
          <w:rFonts w:ascii="仿宋_GB2312" w:eastAsia="仿宋_GB2312" w:hint="eastAsia"/>
          <w:color w:val="000000" w:themeColor="text1"/>
          <w:sz w:val="32"/>
          <w:szCs w:val="32"/>
        </w:rPr>
        <w:t>体系研究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3.区域协调发展与产业空间集聚的测度研究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4.长江流域生态保护和高质量发展的协同性测度研究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5.基于大数据的人口统计调查方法与应用研究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6.国民健康和福祉的多维评价研究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7.中国国民经济核算体系改革与发展研究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8.政府微观统计数据开发与应用研究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9.数据质量统计诊断方法与应用研究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10.网络舆情信息挖掘方法与应用研究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11.基于大数据的政策效应评价方法应用研究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12.基于大数据分析的统计过程控制研究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13.重大社会突发事件的风险评估与治理研究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14.中国经济发展不平衡不充分测度与时空差异性研究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15.国际贸易摩擦对经济影响的测度研究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16.中国环境治理成本与效益的时空分布研究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17.中国金融风险与经济安全评估研究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18.物联网统计理论与方法研究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19.人工智能统计方法与应用研究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20.区块链应用中的统计方法研究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21.计算社会科学中的方法与技术研究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22.复杂数据的建模方法与应用研究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23.时空数据的建模方法与应用研究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24.面板数据的非参数估计模型应用研究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25.高校学科建设绩效评价研究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26.重庆市高质量发展的测度与评估研究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27.重庆市高品质生活的测度与评估研究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28.重庆市产业竞争力测度与结构优化研究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29.重庆营商环境评价方法与应用研究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30.重庆市金融服务实体经济能力评价研究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31.重庆市相对贫困评价、测度及治理研究</w:t>
      </w:r>
    </w:p>
    <w:p w:rsidR="00C46CB8" w:rsidRDefault="00C46CB8">
      <w:pPr>
        <w:spacing w:line="360" w:lineRule="auto"/>
        <w:ind w:left="502" w:hangingChars="157" w:hanging="502"/>
        <w:rPr>
          <w:rFonts w:ascii="仿宋_GB2312" w:eastAsia="仿宋_GB2312"/>
          <w:color w:val="000000" w:themeColor="text1"/>
          <w:sz w:val="32"/>
          <w:szCs w:val="32"/>
        </w:rPr>
      </w:pPr>
    </w:p>
    <w:p w:rsidR="00C46CB8" w:rsidRDefault="00C46CB8">
      <w:pPr>
        <w:spacing w:line="360" w:lineRule="auto"/>
        <w:ind w:left="502" w:hangingChars="157" w:hanging="502"/>
        <w:rPr>
          <w:rFonts w:ascii="仿宋_GB2312" w:eastAsia="仿宋_GB2312"/>
          <w:color w:val="000000" w:themeColor="text1"/>
          <w:sz w:val="32"/>
          <w:szCs w:val="32"/>
        </w:rPr>
      </w:pP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pPr>
    </w:p>
    <w:p w:rsidR="00C46CB8" w:rsidRDefault="00C46CB8">
      <w:pPr>
        <w:pStyle w:val="1"/>
        <w:spacing w:before="0" w:after="0" w:line="360" w:lineRule="auto"/>
        <w:ind w:firstLineChars="0" w:firstLine="0"/>
        <w:jc w:val="center"/>
        <w:rPr>
          <w:rFonts w:ascii="黑体" w:eastAsia="黑体" w:hAnsi="黑体" w:cs="宋体"/>
          <w:color w:val="000000" w:themeColor="text1"/>
          <w:kern w:val="0"/>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管理学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1.社会主义基本经济制度下的企业运行机制研究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2.构建中国特色现代国有企业制度的关键问题研究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3.科学设置、职能优化、权责协同的地方政府机构研究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4.人工智能对会计工作的影响与会计职能转变研究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5.全球数据跨境流动政策与战略研究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6.大数据环境下的质量管理模式研究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7.互联网变革下新型组织形态研究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8.新技术条件下的工作性质变革研究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9.人工智能发展对就业的影响研究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10.零工经济下的薪酬制度研究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11.新技术驱动的公司创业行为与过程管理研究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12.坚持和发展新时代枫桥经验研究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13.西部陆海新通道的共建与合作机制研究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14.新一轮西部大开发中的协同发展研究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15.成渝地区双城经济圈城乡一体化发展体制机制研究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16.成渝地区双城经济</w:t>
      </w:r>
      <w:proofErr w:type="gramStart"/>
      <w:r>
        <w:rPr>
          <w:rFonts w:ascii="仿宋_GB2312" w:eastAsia="仿宋_GB2312" w:hAnsi="Times New Roman" w:cs="Times New Roman" w:hint="eastAsia"/>
          <w:color w:val="000000" w:themeColor="text1"/>
          <w:sz w:val="32"/>
          <w:szCs w:val="32"/>
        </w:rPr>
        <w:t>圈区域</w:t>
      </w:r>
      <w:proofErr w:type="gramEnd"/>
      <w:r>
        <w:rPr>
          <w:rFonts w:ascii="仿宋_GB2312" w:eastAsia="仿宋_GB2312" w:hAnsi="Times New Roman" w:cs="Times New Roman" w:hint="eastAsia"/>
          <w:color w:val="000000" w:themeColor="text1"/>
          <w:sz w:val="32"/>
          <w:szCs w:val="32"/>
        </w:rPr>
        <w:t>协调发展新机制研究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17.成渝地区双城经济</w:t>
      </w:r>
      <w:proofErr w:type="gramStart"/>
      <w:r>
        <w:rPr>
          <w:rFonts w:ascii="仿宋_GB2312" w:eastAsia="仿宋_GB2312" w:hAnsi="Times New Roman" w:cs="Times New Roman" w:hint="eastAsia"/>
          <w:color w:val="000000" w:themeColor="text1"/>
          <w:sz w:val="32"/>
          <w:szCs w:val="32"/>
        </w:rPr>
        <w:t>圈医疗</w:t>
      </w:r>
      <w:proofErr w:type="gramEnd"/>
      <w:r>
        <w:rPr>
          <w:rFonts w:ascii="仿宋_GB2312" w:eastAsia="仿宋_GB2312" w:hAnsi="Times New Roman" w:cs="Times New Roman" w:hint="eastAsia"/>
          <w:color w:val="000000" w:themeColor="text1"/>
          <w:sz w:val="32"/>
          <w:szCs w:val="32"/>
        </w:rPr>
        <w:t>创新服务的区域协同发展研究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18.成渝地区双城经济</w:t>
      </w:r>
      <w:proofErr w:type="gramStart"/>
      <w:r>
        <w:rPr>
          <w:rFonts w:ascii="仿宋_GB2312" w:eastAsia="仿宋_GB2312" w:hAnsi="Times New Roman" w:cs="Times New Roman" w:hint="eastAsia"/>
          <w:color w:val="000000" w:themeColor="text1"/>
          <w:sz w:val="32"/>
          <w:szCs w:val="32"/>
        </w:rPr>
        <w:t>圈社会</w:t>
      </w:r>
      <w:proofErr w:type="gramEnd"/>
      <w:r>
        <w:rPr>
          <w:rFonts w:ascii="仿宋_GB2312" w:eastAsia="仿宋_GB2312" w:hAnsi="Times New Roman" w:cs="Times New Roman" w:hint="eastAsia"/>
          <w:color w:val="000000" w:themeColor="text1"/>
          <w:sz w:val="32"/>
          <w:szCs w:val="32"/>
        </w:rPr>
        <w:t>资本与人力资本互动机制研究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19.万达开川渝统筹发展示范区的共建合作机制研究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20.“十四五”时期重庆国有经济战略性调整研究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21.“十四五”时期重庆行政管理体制变革研究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22.“十四五”时期重庆发展智慧城市研究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23.地方政府治理体系和重庆治理能力评价体系研究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24.混合所有制改革与重庆国有企业治理效率提升研究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25.重庆互联网平台企业的网状结构及其财务关系研究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26.社会网络与知识网络对重庆企业创新的交互赋能机制研究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27.技术变革对重庆企业组织形式和组织结构的影响研究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28.重庆农村环境治理研究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29.重庆志愿服务组织建设管理研究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30.区块链思维与重庆企业战略管理创新发展研究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31.数字经济与重庆企业管理模式创新研究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32.重庆企业跨国经营中的“本土化”策略研究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33.重庆营商环境与企业家精神培育研究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34.数字资本对重庆企业运营管理的影响机制研究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35.基于文化视角的重庆企业管理研究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36.重庆实现生态价值的途径和机制研究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37.重庆建设节水型社会研究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38.新时代重庆实施乡村振兴战略研究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39.重庆资源环境可持续发展研究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40.重庆农业资源使用权流转对粮食生产的影响研究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41.重庆行政管理体制变革研究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42.重庆建设普适性、基础性、兜底性的民生设施问题研究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43.重庆农村相对贫困识别和长效治理机制研究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44.重庆建设城乡基层社会治理共同体研究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45.重庆发挥社会组织在基层治理新格局中的作用研究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46.重庆建设智能政府、数字政府的理论与实践研究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47.重庆基本公共服务均等化、可及性的实现机制研究</w:t>
      </w:r>
    </w:p>
    <w:p w:rsidR="00C46CB8" w:rsidRDefault="00C46CB8">
      <w:pPr>
        <w:ind w:firstLineChars="95" w:firstLine="199"/>
        <w:rPr>
          <w:color w:val="000000" w:themeColor="text1"/>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法学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1.“十四五”规划设计中的重大法治问题研究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2.新时代党和国家治理现代化和法治化问题研究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3.新时代国家制度和法律制度创新发展的重大理论与实践问题研究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4.新时代中国特色社会主义宪法学基本理论研究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5.新时代法治文明建设研究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6.中国特色社会主义法律监督体系研究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7.中国特色社会主义制度的定型研究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8.宪法与国家治理体系现代化研究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9.健全保障宪法全面实施的体制机制研究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10.依法治国与依规治党有机统一研究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w:t>
      </w:r>
      <w:r>
        <w:rPr>
          <w:rFonts w:ascii="仿宋_GB2312" w:eastAsia="仿宋_GB2312" w:hAnsi="Times New Roman" w:cs="Times New Roman" w:hint="eastAsia"/>
          <w:color w:val="000000" w:themeColor="text1"/>
          <w:sz w:val="32"/>
          <w:szCs w:val="32"/>
        </w:rPr>
        <w:tab/>
        <w:t>新时代法治政府标准和建设途径研究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w:t>
      </w:r>
      <w:r>
        <w:rPr>
          <w:rFonts w:ascii="仿宋_GB2312" w:eastAsia="仿宋_GB2312" w:hAnsi="Times New Roman" w:cs="Times New Roman" w:hint="eastAsia"/>
          <w:color w:val="000000" w:themeColor="text1"/>
          <w:sz w:val="32"/>
          <w:szCs w:val="32"/>
        </w:rPr>
        <w:tab/>
        <w:t>新时代知识产权制度的变革与完善研究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13.民法典实施中的重要问题研究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14.民法典实施与全面依法治市研究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w:t>
      </w:r>
      <w:r>
        <w:rPr>
          <w:rFonts w:ascii="仿宋_GB2312" w:eastAsia="仿宋_GB2312" w:hAnsi="Times New Roman" w:cs="Times New Roman" w:hint="eastAsia"/>
          <w:color w:val="000000" w:themeColor="text1"/>
          <w:sz w:val="32"/>
          <w:szCs w:val="32"/>
        </w:rPr>
        <w:tab/>
        <w:t>民法典适用与国家法理研究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w:t>
      </w:r>
      <w:r>
        <w:rPr>
          <w:rFonts w:ascii="仿宋_GB2312" w:eastAsia="仿宋_GB2312" w:hAnsi="Times New Roman" w:cs="Times New Roman" w:hint="eastAsia"/>
          <w:color w:val="000000" w:themeColor="text1"/>
          <w:sz w:val="32"/>
          <w:szCs w:val="32"/>
        </w:rPr>
        <w:tab/>
        <w:t>防范化解金融风向法制保障研究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w:t>
      </w:r>
      <w:r>
        <w:rPr>
          <w:rFonts w:ascii="仿宋_GB2312" w:eastAsia="仿宋_GB2312" w:hAnsi="Times New Roman" w:cs="Times New Roman" w:hint="eastAsia"/>
          <w:color w:val="000000" w:themeColor="text1"/>
          <w:sz w:val="32"/>
          <w:szCs w:val="32"/>
        </w:rPr>
        <w:tab/>
        <w:t>区块链应用管理与安全风险防范相关法律问题研究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18.国家生物安全法律问题研究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19.军民融合发展法制保障研究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20.我国基本医疗卫生立法研究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21.市场准入负面清单研究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22.公益诉讼检察制度研究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23.消费者权益保护集体诉讼制度研究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24.构建人类命运共同体与国际环境法治创新研究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25.我国区域经济协调发展立法研究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w:t>
      </w:r>
      <w:r>
        <w:rPr>
          <w:rFonts w:ascii="仿宋_GB2312" w:eastAsia="仿宋_GB2312" w:hAnsi="Times New Roman" w:cs="Times New Roman" w:hint="eastAsia"/>
          <w:color w:val="000000" w:themeColor="text1"/>
          <w:sz w:val="32"/>
          <w:szCs w:val="32"/>
        </w:rPr>
        <w:tab/>
        <w:t>未成年人司法基本原理研究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w:t>
      </w:r>
      <w:r>
        <w:rPr>
          <w:rFonts w:ascii="仿宋_GB2312" w:eastAsia="仿宋_GB2312" w:hAnsi="Times New Roman" w:cs="Times New Roman" w:hint="eastAsia"/>
          <w:color w:val="000000" w:themeColor="text1"/>
          <w:sz w:val="32"/>
          <w:szCs w:val="32"/>
        </w:rPr>
        <w:tab/>
        <w:t>境外中国企业投资权益法律保护机制研究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28.成渝地区双城经济</w:t>
      </w:r>
      <w:proofErr w:type="gramStart"/>
      <w:r>
        <w:rPr>
          <w:rFonts w:ascii="仿宋_GB2312" w:eastAsia="仿宋_GB2312" w:hAnsi="Times New Roman" w:cs="Times New Roman" w:hint="eastAsia"/>
          <w:color w:val="000000" w:themeColor="text1"/>
          <w:sz w:val="32"/>
          <w:szCs w:val="32"/>
        </w:rPr>
        <w:t>圈立法</w:t>
      </w:r>
      <w:proofErr w:type="gramEnd"/>
      <w:r>
        <w:rPr>
          <w:rFonts w:ascii="仿宋_GB2312" w:eastAsia="仿宋_GB2312" w:hAnsi="Times New Roman" w:cs="Times New Roman" w:hint="eastAsia"/>
          <w:color w:val="000000" w:themeColor="text1"/>
          <w:sz w:val="32"/>
          <w:szCs w:val="32"/>
        </w:rPr>
        <w:t>协同创新机制研究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w:t>
      </w:r>
      <w:proofErr w:type="gramStart"/>
      <w:r>
        <w:rPr>
          <w:rFonts w:ascii="仿宋_GB2312" w:eastAsia="仿宋_GB2312" w:hAnsi="Times New Roman" w:cs="Times New Roman" w:hint="eastAsia"/>
          <w:color w:val="000000" w:themeColor="text1"/>
          <w:sz w:val="32"/>
          <w:szCs w:val="32"/>
        </w:rPr>
        <w:t>保税港地方</w:t>
      </w:r>
      <w:proofErr w:type="gramEnd"/>
      <w:r>
        <w:rPr>
          <w:rFonts w:ascii="仿宋_GB2312" w:eastAsia="仿宋_GB2312" w:hAnsi="Times New Roman" w:cs="Times New Roman" w:hint="eastAsia"/>
          <w:color w:val="000000" w:themeColor="text1"/>
          <w:sz w:val="32"/>
          <w:szCs w:val="32"/>
        </w:rPr>
        <w:t>立法研究</w:t>
      </w:r>
    </w:p>
    <w:p w:rsidR="00C46CB8" w:rsidRDefault="00640CC4">
      <w:pPr>
        <w:widowControl w:val="0"/>
        <w:spacing w:line="360" w:lineRule="auto"/>
        <w:ind w:left="502" w:hangingChars="157" w:hanging="502"/>
        <w:rPr>
          <w:rFonts w:ascii="仿宋_GB2312" w:eastAsia="仿宋_GB2312" w:cs="宋体"/>
          <w:bCs/>
          <w:color w:val="000000" w:themeColor="text1"/>
          <w:kern w:val="0"/>
          <w:sz w:val="32"/>
          <w:szCs w:val="32"/>
        </w:rPr>
      </w:pPr>
      <w:r>
        <w:rPr>
          <w:rFonts w:ascii="仿宋_GB2312" w:eastAsia="仿宋_GB2312" w:hAnsi="Times New Roman" w:cs="Times New Roman" w:hint="eastAsia"/>
          <w:color w:val="000000" w:themeColor="text1"/>
          <w:sz w:val="32"/>
          <w:szCs w:val="32"/>
        </w:rPr>
        <w:t>30.</w:t>
      </w:r>
      <w:r>
        <w:rPr>
          <w:rFonts w:ascii="仿宋_GB2312" w:eastAsia="仿宋_GB2312" w:cs="宋体" w:hint="eastAsia"/>
          <w:bCs/>
          <w:color w:val="000000" w:themeColor="text1"/>
          <w:kern w:val="0"/>
          <w:sz w:val="32"/>
          <w:szCs w:val="32"/>
        </w:rPr>
        <w:t>中国（重庆）自由贸易试验区仲裁机制革新研究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31.重庆“三变”改革中的投资退出法律机制研究</w:t>
      </w:r>
    </w:p>
    <w:p w:rsidR="00C46CB8" w:rsidRDefault="00640CC4">
      <w:pPr>
        <w:widowControl w:val="0"/>
        <w:spacing w:line="360" w:lineRule="auto"/>
        <w:ind w:left="502" w:hangingChars="157" w:hanging="502"/>
        <w:rPr>
          <w:rFonts w:ascii="仿宋_GB2312" w:eastAsia="仿宋_GB2312" w:cs="宋体"/>
          <w:bCs/>
          <w:color w:val="000000" w:themeColor="text1"/>
          <w:kern w:val="0"/>
          <w:sz w:val="32"/>
          <w:szCs w:val="32"/>
        </w:rPr>
      </w:pPr>
      <w:r>
        <w:rPr>
          <w:rFonts w:ascii="仿宋_GB2312" w:eastAsia="仿宋_GB2312" w:cs="宋体" w:hint="eastAsia"/>
          <w:bCs/>
          <w:color w:val="000000" w:themeColor="text1"/>
          <w:kern w:val="0"/>
          <w:sz w:val="32"/>
          <w:szCs w:val="32"/>
        </w:rPr>
        <w:t>32.</w:t>
      </w:r>
      <w:r>
        <w:rPr>
          <w:rFonts w:ascii="仿宋_GB2312" w:eastAsia="仿宋_GB2312" w:hint="eastAsia"/>
          <w:color w:val="000000" w:themeColor="text1"/>
          <w:sz w:val="32"/>
          <w:szCs w:val="32"/>
        </w:rPr>
        <w:t>重庆知识产权综合管理研究</w:t>
      </w:r>
    </w:p>
    <w:p w:rsidR="00C46CB8" w:rsidRDefault="00C46CB8">
      <w:pPr>
        <w:ind w:firstLine="420"/>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社会学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1.习近平总书记关于社会治理重要论述研究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2.新时代中国特色社会主义社会治理思想研究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3.构建中国特色社会治理共同体的理论和实践研究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4.中国普惠性、基础性、兜底性民生建设体系发展研究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5.中国基本公共服务制度体系建设与发展研究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6.中国特色全民社会保障体系发展模式、路径研究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7.中国本土社会工作的发展及其路径研究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8.中国社会治理体系和能力现代化研究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9.新常态下我国积极社会政策研究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10.高质量发展与我国就业新形态研究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11.新业态中的劳动关系研究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12.城市化进程中农民工子女的代际流动研究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13.子女教育与社会阶层再生产研究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14.家庭教育与代际流动研究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15.新时代企业社会责任研究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16.社会工作促进社会公平的理论与实践研究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17.促进劳动就业高质量发展的体制机制研究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18.新时代中国收入分配变化趋势及其影响社会稳定的机制研究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19.全面小康社会城乡贫困新趋势与贫困新战略研究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20.乡村振兴与农村社会工作研究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21.健康中国建设的理论和实践研究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22.新时代中国移民政策研究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23.生态文明建设的社会文化机制研究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24.当代中国社会价值观念与行为方式代</w:t>
      </w:r>
      <w:proofErr w:type="gramStart"/>
      <w:r>
        <w:rPr>
          <w:rFonts w:ascii="仿宋_GB2312" w:eastAsia="仿宋_GB2312" w:hAnsi="Times New Roman" w:cs="Times New Roman" w:hint="eastAsia"/>
          <w:color w:val="000000" w:themeColor="text1"/>
          <w:sz w:val="32"/>
          <w:szCs w:val="32"/>
        </w:rPr>
        <w:t>际比较</w:t>
      </w:r>
      <w:proofErr w:type="gramEnd"/>
      <w:r>
        <w:rPr>
          <w:rFonts w:ascii="仿宋_GB2312" w:eastAsia="仿宋_GB2312" w:hAnsi="Times New Roman" w:cs="Times New Roman" w:hint="eastAsia"/>
          <w:color w:val="000000" w:themeColor="text1"/>
          <w:sz w:val="32"/>
          <w:szCs w:val="32"/>
        </w:rPr>
        <w:t>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25.人工智能发展的社会风险研究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26.大数据与社会治理研究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27.大数据智能化与社会治安研究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28.互联网金融风险治理的社会学研究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29.互联网经济背景下自主创业者群体研究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w:t>
      </w:r>
      <w:proofErr w:type="gramStart"/>
      <w:r>
        <w:rPr>
          <w:rFonts w:ascii="仿宋_GB2312" w:eastAsia="仿宋_GB2312" w:hAnsi="Times New Roman" w:cs="Times New Roman" w:hint="eastAsia"/>
          <w:color w:val="000000" w:themeColor="text1"/>
          <w:sz w:val="32"/>
          <w:szCs w:val="32"/>
        </w:rPr>
        <w:t>网络圈群现象</w:t>
      </w:r>
      <w:proofErr w:type="gramEnd"/>
      <w:r>
        <w:rPr>
          <w:rFonts w:ascii="仿宋_GB2312" w:eastAsia="仿宋_GB2312" w:hAnsi="Times New Roman" w:cs="Times New Roman" w:hint="eastAsia"/>
          <w:color w:val="000000" w:themeColor="text1"/>
          <w:sz w:val="32"/>
          <w:szCs w:val="32"/>
        </w:rPr>
        <w:t>与舆情疏导机制研究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31.基于中国经验的产业社会学研究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32.城市群的空间社会学研究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33.“一带一路”沿线国家社会治理模式比较研究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34.重大突发事件中的重庆社会治理体系建设研究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35.重大突发事件下重庆民生保障与社会救助研究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36.重庆精准扶贫精准脱贫的经验研究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37.重庆坚持和发展新时代“枫桥”经验研究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38.重庆城市老旧社区公共安全协同治理研究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39.重庆乡村善治与相对贫困治理研究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40.重庆乡村振兴与新型城镇化融合发展研究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41.重庆资本下乡与乡村振兴的社会政策研究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42.重庆新型职业农民发展研究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43.重庆农民工家庭化迁移研究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44.重庆乡村人居环境的人类学研究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45.重庆农村互助养老的社会基础、实践困境和发展路径研究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46.重庆城市社会治理中的网络参与机制创新研究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47.重庆城市交通新业态的社会影响与治理研究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640CC4">
      <w:pPr>
        <w:ind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color w:val="000000" w:themeColor="text1"/>
          <w:sz w:val="32"/>
          <w:szCs w:val="32"/>
        </w:rPr>
        <w:br w:type="page"/>
      </w: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人口学</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1.数据技术估算人口动态研究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2.生育支持的社会政策研究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3.人口管理制度与经济增长关系研究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4.流动人口经济行为研究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5.人口老龄化应对措施研究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6.老年人需求变化与老龄产业发展研究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7.家庭结构变迁与家庭财富积累研究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8.人口均衡发展的实现路径研究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9.人工智能发展对人力资源需求与供给的影响研究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10.我国劳动年龄人口变动对经济发展潜在影响研究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11.中国生育变化、特征与发展趋势研究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12.生育意愿及影响因素研究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13.优化生育政策、提高人口质量研究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14.人口迁移流动与人口集聚研究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15.老龄社会治理体系研究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16.科技创新与养老支持研究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17.性别结构与生育偏好研究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18.健康老龄化研究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19.乡村振兴战略与农村人口问题研究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20.劳动力供需匹配与经济高质量发展研究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21.西部人口变动趋势及其对“西部大开发”战略影响研究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22.“十四五”时期重庆促进人口均衡发展研究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23.重庆市人口聚集特征与发展趋势研究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24.重庆市县</w:t>
      </w:r>
      <w:proofErr w:type="gramStart"/>
      <w:r>
        <w:rPr>
          <w:rFonts w:ascii="仿宋_GB2312" w:eastAsia="仿宋_GB2312" w:hint="eastAsia"/>
          <w:color w:val="000000" w:themeColor="text1"/>
          <w:sz w:val="32"/>
          <w:szCs w:val="32"/>
        </w:rPr>
        <w:t>域人口</w:t>
      </w:r>
      <w:proofErr w:type="gramEnd"/>
      <w:r>
        <w:rPr>
          <w:rFonts w:ascii="仿宋_GB2312" w:eastAsia="仿宋_GB2312" w:hint="eastAsia"/>
          <w:color w:val="000000" w:themeColor="text1"/>
          <w:sz w:val="32"/>
          <w:szCs w:val="32"/>
        </w:rPr>
        <w:t>流动与再分布研究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25.重庆市农民工返乡创业研究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26.重庆市农民工市民化研究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27.重庆市人口老龄化问题研究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28.重庆市婴幼儿托</w:t>
      </w:r>
      <w:proofErr w:type="gramStart"/>
      <w:r>
        <w:rPr>
          <w:rFonts w:ascii="仿宋_GB2312" w:eastAsia="仿宋_GB2312" w:hint="eastAsia"/>
          <w:color w:val="000000" w:themeColor="text1"/>
          <w:sz w:val="32"/>
          <w:szCs w:val="32"/>
        </w:rPr>
        <w:t>育服务</w:t>
      </w:r>
      <w:proofErr w:type="gramEnd"/>
      <w:r>
        <w:rPr>
          <w:rFonts w:ascii="仿宋_GB2312" w:eastAsia="仿宋_GB2312" w:hint="eastAsia"/>
          <w:color w:val="000000" w:themeColor="text1"/>
          <w:sz w:val="32"/>
          <w:szCs w:val="32"/>
        </w:rPr>
        <w:t>问题研究</w:t>
      </w:r>
    </w:p>
    <w:p w:rsidR="00C46CB8" w:rsidRDefault="00640CC4">
      <w:pPr>
        <w:spacing w:line="360" w:lineRule="auto"/>
        <w:ind w:left="502" w:hangingChars="157" w:hanging="502"/>
        <w:rPr>
          <w:rFonts w:ascii="仿宋_GB2312" w:eastAsia="仿宋_GB2312"/>
          <w:color w:val="000000" w:themeColor="text1"/>
          <w:sz w:val="32"/>
          <w:szCs w:val="32"/>
        </w:rPr>
      </w:pPr>
      <w:r>
        <w:rPr>
          <w:rFonts w:ascii="仿宋_GB2312" w:eastAsia="仿宋_GB2312" w:hint="eastAsia"/>
          <w:color w:val="000000" w:themeColor="text1"/>
          <w:sz w:val="32"/>
          <w:szCs w:val="32"/>
        </w:rPr>
        <w:t>29.重庆市相对贫困人口问题研究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民族学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1.习近平总书记关于民族团结重要论述及实践研究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2.新时代中国特色社会主义民族工作理论创新研究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3.社会治理体系现代化与民族工作创新发展研究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4.社会治理能力现代化与民族政策实践研究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5.社会主义民主政治与民族区域自治研究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6.中国特色民族政策话语体系创新研究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7.牢固树立正确的祖国观、民族观、文化观、历史观研究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8.中华民族归属、认同、尊严和荣誉感的民族理论研究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9.中华民族多元一体与中华文明标识体系构建研究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10.各民族共享的中华文化符号和中华民族形象研究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11.各民族交往交流交融历史基础研究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12.各民族人口流动与交往交流交融现实格局研究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13.互联网与构筑各民族共有精神家园研究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14.重庆全面贯彻落实民族区域自治法研究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15.重庆健全民族工作地方法律法规体系研究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16.重庆民族自治县依法行使自治权研究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17.重庆依法保障各民族合法权益研究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18.重庆民族地区实现全面建成小康社会目标的程度研究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19.重庆民族地区“绿水青山”转化为“金山银山”的能力研究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20.重庆民族地区乡村振兴与供销合作体制研究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21.重庆民族地区易地扶贫搬迁稳定脱贫的实证研究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22.重庆民族地区易地扶贫搬迁的多</w:t>
      </w:r>
      <w:proofErr w:type="gramStart"/>
      <w:r>
        <w:rPr>
          <w:rFonts w:ascii="仿宋_GB2312" w:eastAsia="仿宋_GB2312" w:hAnsi="Times New Roman" w:cs="Times New Roman" w:hint="eastAsia"/>
          <w:color w:val="000000" w:themeColor="text1"/>
          <w:sz w:val="32"/>
          <w:szCs w:val="32"/>
        </w:rPr>
        <w:t>民族互嵌社区</w:t>
      </w:r>
      <w:proofErr w:type="gramEnd"/>
      <w:r>
        <w:rPr>
          <w:rFonts w:ascii="仿宋_GB2312" w:eastAsia="仿宋_GB2312" w:hAnsi="Times New Roman" w:cs="Times New Roman" w:hint="eastAsia"/>
          <w:color w:val="000000" w:themeColor="text1"/>
          <w:sz w:val="32"/>
          <w:szCs w:val="32"/>
        </w:rPr>
        <w:t>调查研究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23.重庆少数民族地方先贤、知名人士的爱国情怀研究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24.重庆少数民族革命英烈、模范人物的爱国主义情操研究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25.重庆少数民族革命文物的收集、保护与展陈研究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26.重庆少数民族长征文化公园建设研究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27.重庆少数民族传统艺术作品的现代传播力研究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28.重庆少数民族传统文化符号的现代影响力研究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29.重庆少数民族非物质文化遗产的保护与创新发展研究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30.重庆民族博物馆建设与少数民族文物保护研究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新闻与传播学</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1.习近平新时代中国特色社会主义思想的对外传播研究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2.新时代中国特色发展理念的国际传播研究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3.新时代新闻舆论监督的价值、内涵及路径研究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4.培育中华民族共同体意识与优化传播路径研究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5.新时代传播主旋律效果研究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6.传播学基础理论建设的最新发展研究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7.移动传播时代的新闻理论问题研究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8.传播学理论范式构建的符号学路径研究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9.5G技术普及在出版工作中的应用与前景研究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10.移动出版中的法律与伦理问题研究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11.智能传播时代的新闻编辑学研究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12.基于知识服务的学术期刊学术评价指标体系研究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13.人工智能对新闻传播业影响研究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14.区块链传播方式与效果研究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15.互联网环境中媒体社会责任的实现路径研究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16.新媒体情境中的社区传播研究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17.智能手机对未成年人的影响及其对策研究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18.短视频生产与传播的网络安全引导研究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19.自媒体侵权问题研究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20.老龄社会与老年人群健康信息传播研究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21.成渝地区双城经济圈出版业融合发展的路径选择研究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22.重庆做大做强主流思想舆论的技巧研究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23.重庆社会治理能力建设与新闻舆论工作关系研究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24.新时代重庆形象设计的特点和风格研究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25.新时代重庆形象设计与</w:t>
      </w:r>
      <w:proofErr w:type="gramStart"/>
      <w:r>
        <w:rPr>
          <w:rFonts w:ascii="仿宋_GB2312" w:eastAsia="仿宋_GB2312" w:hAnsi="Times New Roman" w:cs="Times New Roman" w:hint="eastAsia"/>
          <w:color w:val="000000" w:themeColor="text1"/>
          <w:sz w:val="32"/>
          <w:szCs w:val="32"/>
        </w:rPr>
        <w:t>软实力</w:t>
      </w:r>
      <w:proofErr w:type="gramEnd"/>
      <w:r>
        <w:rPr>
          <w:rFonts w:ascii="仿宋_GB2312" w:eastAsia="仿宋_GB2312" w:hAnsi="Times New Roman" w:cs="Times New Roman" w:hint="eastAsia"/>
          <w:color w:val="000000" w:themeColor="text1"/>
          <w:sz w:val="32"/>
          <w:szCs w:val="32"/>
        </w:rPr>
        <w:t>建构的关系研究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26.传媒艺术塑造重庆形象研究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27.重庆品牌的建构与传播研究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28.重庆建立全媒体传播体系研究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29.重庆健全重大舆情和突发事件舆论引导机制研究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30.重庆知识资源服务战略研究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31.重庆新闻媒体完善诚信建设长效机制研究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32.重庆数据新闻风险防控与舆论引导能力建构研究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33.重庆社会舆情的酝酿特点与规律研究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34.全媒体时代重庆公民媒介素养的内涵演变及培养机制研究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35.重庆全面提高网络治理能力研究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w:t>
      </w:r>
      <w:proofErr w:type="gramStart"/>
      <w:r>
        <w:rPr>
          <w:rFonts w:ascii="仿宋_GB2312" w:eastAsia="仿宋_GB2312" w:hAnsi="Times New Roman" w:cs="Times New Roman" w:hint="eastAsia"/>
          <w:color w:val="000000" w:themeColor="text1"/>
          <w:sz w:val="32"/>
          <w:szCs w:val="32"/>
        </w:rPr>
        <w:t>智媒时代</w:t>
      </w:r>
      <w:proofErr w:type="gramEnd"/>
      <w:r>
        <w:rPr>
          <w:rFonts w:ascii="仿宋_GB2312" w:eastAsia="仿宋_GB2312" w:hAnsi="Times New Roman" w:cs="Times New Roman" w:hint="eastAsia"/>
          <w:color w:val="000000" w:themeColor="text1"/>
          <w:sz w:val="32"/>
          <w:szCs w:val="32"/>
        </w:rPr>
        <w:t>重庆网络意识形态治理研究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37.重庆建立健全网络综合治理体系研究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38.重庆加强和创新互联网内容建设研究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39.重庆落实互联网企业信息管理主体责任研究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40.“一带一路”背景下重庆本土文化走出去路径与对策研究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41.提升重庆面向“一带一路”的传播能力研究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42.“一带一路”倡议下重庆文化对外传播与交流研究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43.“一带一路”背景下重庆出版“走出去”效果研究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44.重庆广告产业转型发展研究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45.重庆传媒产业媒介融合研究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46.重庆“一区两群”媒体融合创新社会治理的模式与效果研究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47.重庆区县融媒中心对基层社会生态影响研究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48.新时期重庆出版业高质量发展策略研究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49.重庆参与全球出版产业价值链研究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50.重庆近代地方印刷社会文化史</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51.新中国以来重庆地方报业经营与报业史研究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52.重庆近代报人公益实践史研究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53.重庆近现代日记出版研究</w:t>
      </w:r>
    </w:p>
    <w:p w:rsidR="001A5576" w:rsidRDefault="001A5576">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54.古籍</w:t>
      </w:r>
      <w:r>
        <w:rPr>
          <w:rFonts w:ascii="仿宋_GB2312" w:eastAsia="仿宋_GB2312" w:hAnsi="Times New Roman" w:cs="Times New Roman"/>
          <w:color w:val="000000" w:themeColor="text1"/>
          <w:sz w:val="32"/>
          <w:szCs w:val="32"/>
        </w:rPr>
        <w:t>整理</w:t>
      </w:r>
      <w:r w:rsidR="00D609E1">
        <w:rPr>
          <w:rFonts w:ascii="仿宋_GB2312" w:eastAsia="仿宋_GB2312" w:hAnsi="Times New Roman" w:cs="Times New Roman" w:hint="eastAsia"/>
          <w:color w:val="000000" w:themeColor="text1"/>
          <w:sz w:val="32"/>
          <w:szCs w:val="32"/>
        </w:rPr>
        <w:t>保护</w:t>
      </w:r>
      <w:r>
        <w:rPr>
          <w:rFonts w:ascii="仿宋_GB2312" w:eastAsia="仿宋_GB2312" w:hAnsi="Times New Roman" w:cs="Times New Roman"/>
          <w:color w:val="000000" w:themeColor="text1"/>
          <w:sz w:val="32"/>
          <w:szCs w:val="32"/>
        </w:rPr>
        <w:t>与研究</w:t>
      </w:r>
    </w:p>
    <w:p w:rsidR="00C46CB8" w:rsidRDefault="00C46CB8">
      <w:pPr>
        <w:widowControl w:val="0"/>
        <w:spacing w:line="360" w:lineRule="auto"/>
        <w:ind w:left="502" w:hangingChars="157" w:hanging="502"/>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图书情报文献学</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1.新时代图书情报与档案管理学科的战略规划与总体布局研究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2.5G时代的原生数字资源开发与利用研究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3.融合知识组织与认知计算的知识发现服务系统研究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4.演化视角下新兴技术形成机制与识别方法研究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5.区块链技术在图书情报领域的理论与实践研究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6.网络空间命运共同体战略下信息资源管理理论研究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7.社交媒体用户信息利用行为决策模式研究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8.全文本引文分析体系构建的理论与方法研究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9.大数据时代的领域知识加工与组织研究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10.领域知识图谱构建及其在数字人文中的应用研究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11.档案文化要素的本质及其演化研究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12.“一带一路”倡议下的档案融入与建设研究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13.成渝地区双城经济圈图书馆跨领域合作联盟研究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14.“互联网+”环境下的成渝地区双城经济</w:t>
      </w:r>
      <w:proofErr w:type="gramStart"/>
      <w:r>
        <w:rPr>
          <w:rFonts w:ascii="仿宋_GB2312" w:eastAsia="仿宋_GB2312" w:hAnsi="Times New Roman" w:cs="Times New Roman" w:hint="eastAsia"/>
          <w:color w:val="000000" w:themeColor="text1"/>
          <w:sz w:val="32"/>
          <w:szCs w:val="32"/>
        </w:rPr>
        <w:t>圈学术</w:t>
      </w:r>
      <w:proofErr w:type="gramEnd"/>
      <w:r>
        <w:rPr>
          <w:rFonts w:ascii="仿宋_GB2312" w:eastAsia="仿宋_GB2312" w:hAnsi="Times New Roman" w:cs="Times New Roman" w:hint="eastAsia"/>
          <w:color w:val="000000" w:themeColor="text1"/>
          <w:sz w:val="32"/>
          <w:szCs w:val="32"/>
        </w:rPr>
        <w:t>交流研究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15.重庆图书馆业务系统升级的开放融合生态研究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16.数字创意产业视角下的重庆图书馆创新服务研究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17.重庆培育阅读推广人才的激励机制研究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18.重庆图书馆储备书库的建设与管理研究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19.重庆分</w:t>
      </w:r>
      <w:proofErr w:type="gramStart"/>
      <w:r>
        <w:rPr>
          <w:rFonts w:ascii="仿宋_GB2312" w:eastAsia="仿宋_GB2312" w:hAnsi="Times New Roman" w:cs="Times New Roman" w:hint="eastAsia"/>
          <w:color w:val="000000" w:themeColor="text1"/>
          <w:sz w:val="32"/>
          <w:szCs w:val="32"/>
        </w:rPr>
        <w:t>龄指导</w:t>
      </w:r>
      <w:proofErr w:type="gramEnd"/>
      <w:r>
        <w:rPr>
          <w:rFonts w:ascii="仿宋_GB2312" w:eastAsia="仿宋_GB2312" w:hAnsi="Times New Roman" w:cs="Times New Roman" w:hint="eastAsia"/>
          <w:color w:val="000000" w:themeColor="text1"/>
          <w:sz w:val="32"/>
          <w:szCs w:val="32"/>
        </w:rPr>
        <w:t>公共图书馆低</w:t>
      </w:r>
      <w:proofErr w:type="gramStart"/>
      <w:r>
        <w:rPr>
          <w:rFonts w:ascii="仿宋_GB2312" w:eastAsia="仿宋_GB2312" w:hAnsi="Times New Roman" w:cs="Times New Roman" w:hint="eastAsia"/>
          <w:color w:val="000000" w:themeColor="text1"/>
          <w:sz w:val="32"/>
          <w:szCs w:val="32"/>
        </w:rPr>
        <w:t>龄读者</w:t>
      </w:r>
      <w:proofErr w:type="gramEnd"/>
      <w:r>
        <w:rPr>
          <w:rFonts w:ascii="仿宋_GB2312" w:eastAsia="仿宋_GB2312" w:hAnsi="Times New Roman" w:cs="Times New Roman" w:hint="eastAsia"/>
          <w:color w:val="000000" w:themeColor="text1"/>
          <w:sz w:val="32"/>
          <w:szCs w:val="32"/>
        </w:rPr>
        <w:t>早期阅读的研究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20.重庆基层图书馆为返乡农民工服务的问题与对策研究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21.重庆面向普遍均等的公共文化服务可及性研究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lastRenderedPageBreak/>
        <w:t>22.重庆基层公共图书馆服务能力评估及其影响因素研究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23.重庆公共数字文化服务云平台架构及其实现模式研究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24.重庆大数据应用中数据伦理与产权问题研究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25.重庆在大数据背景下的应急管理多元主体信息协同研究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26.重庆开发利用国内外开源情报研究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27.基于区块链的重庆网络用户知识分享行为研究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28.重庆档案工作者的职业健康保障体系研究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29.重庆地方民间历史档案的整理与开发研究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30.重庆抗战档案文献遗产资源建设与开发研究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31.重庆少数民族档案资源产业化开发研究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32.重庆数字档案馆建设研究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33.重庆档案资源数据治理体系研究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34.重庆图书馆领军人才战略研究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35.重庆公共图书馆古籍服务现状与发展路径探索研究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36.重庆公共图书馆法人治理结构与管理机制研究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37.重庆政策文本的量化分析方法与路径研究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38.重庆数字记忆与档案信息资源建设研究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39.重庆文件档案管理和服务创新研究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40.重庆非</w:t>
      </w:r>
      <w:proofErr w:type="gramStart"/>
      <w:r>
        <w:rPr>
          <w:rFonts w:ascii="仿宋_GB2312" w:eastAsia="仿宋_GB2312" w:hAnsi="Times New Roman" w:cs="Times New Roman" w:hint="eastAsia"/>
          <w:color w:val="000000" w:themeColor="text1"/>
          <w:sz w:val="32"/>
          <w:szCs w:val="32"/>
        </w:rPr>
        <w:t>遗数字</w:t>
      </w:r>
      <w:proofErr w:type="gramEnd"/>
      <w:r>
        <w:rPr>
          <w:rFonts w:ascii="仿宋_GB2312" w:eastAsia="仿宋_GB2312" w:hAnsi="Times New Roman" w:cs="Times New Roman" w:hint="eastAsia"/>
          <w:color w:val="000000" w:themeColor="text1"/>
          <w:sz w:val="32"/>
          <w:szCs w:val="32"/>
        </w:rPr>
        <w:t>档案资源的整合与开发机制研究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41.重庆三线建设时期档案资源整合与利用机制研究</w:t>
      </w:r>
    </w:p>
    <w:p w:rsidR="00C46CB8" w:rsidRDefault="00C46CB8">
      <w:pPr>
        <w:widowControl w:val="0"/>
        <w:spacing w:line="360" w:lineRule="auto"/>
        <w:ind w:firstLine="640"/>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教育学/心理学</w:t>
      </w:r>
    </w:p>
    <w:p w:rsidR="00C46CB8" w:rsidRDefault="00640CC4">
      <w:pPr>
        <w:widowControl w:val="0"/>
        <w:tabs>
          <w:tab w:val="left" w:pos="420"/>
        </w:tabs>
        <w:spacing w:line="360" w:lineRule="auto"/>
        <w:ind w:firstLineChars="0" w:firstLine="0"/>
        <w:rPr>
          <w:rFonts w:ascii="仿宋_GB2312" w:eastAsia="仿宋_GB2312" w:cs="宋体"/>
          <w:color w:val="000000" w:themeColor="text1"/>
          <w:kern w:val="0"/>
          <w:sz w:val="32"/>
          <w:szCs w:val="32"/>
        </w:rPr>
      </w:pPr>
      <w:r>
        <w:rPr>
          <w:rFonts w:ascii="仿宋_GB2312" w:eastAsia="仿宋_GB2312" w:hAnsi="Times New Roman" w:cs="Times New Roman" w:hint="eastAsia"/>
          <w:color w:val="000000" w:themeColor="text1"/>
          <w:sz w:val="32"/>
          <w:szCs w:val="32"/>
        </w:rPr>
        <w:t>1.习近平总书记关于推进</w:t>
      </w:r>
      <w:r>
        <w:rPr>
          <w:rFonts w:ascii="仿宋_GB2312" w:eastAsia="仿宋_GB2312" w:cs="宋体" w:hint="eastAsia"/>
          <w:color w:val="000000" w:themeColor="text1"/>
          <w:kern w:val="0"/>
          <w:sz w:val="32"/>
          <w:szCs w:val="32"/>
        </w:rPr>
        <w:t>教育高质量发展</w:t>
      </w:r>
      <w:r>
        <w:rPr>
          <w:rFonts w:ascii="仿宋_GB2312" w:eastAsia="仿宋_GB2312" w:hAnsi="Times New Roman" w:cs="Times New Roman" w:hint="eastAsia"/>
          <w:color w:val="000000" w:themeColor="text1"/>
          <w:sz w:val="32"/>
          <w:szCs w:val="32"/>
        </w:rPr>
        <w:t>重要论述研究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2.完善党对教育工作全面领导的制度研究</w:t>
      </w:r>
    </w:p>
    <w:p w:rsidR="00C46CB8" w:rsidRDefault="00640CC4">
      <w:pPr>
        <w:widowControl w:val="0"/>
        <w:tabs>
          <w:tab w:val="left" w:pos="420"/>
        </w:tabs>
        <w:spacing w:line="360" w:lineRule="auto"/>
        <w:ind w:firstLineChars="0" w:firstLine="0"/>
        <w:rPr>
          <w:rFonts w:ascii="仿宋_GB2312" w:eastAsia="仿宋_GB2312" w:cs="宋体"/>
          <w:color w:val="000000" w:themeColor="text1"/>
          <w:kern w:val="0"/>
          <w:sz w:val="32"/>
          <w:szCs w:val="32"/>
        </w:rPr>
      </w:pPr>
      <w:r>
        <w:rPr>
          <w:rFonts w:ascii="仿宋_GB2312" w:eastAsia="仿宋_GB2312" w:cs="宋体" w:hint="eastAsia"/>
          <w:color w:val="000000" w:themeColor="text1"/>
          <w:kern w:val="0"/>
          <w:sz w:val="32"/>
          <w:szCs w:val="32"/>
        </w:rPr>
        <w:t>3.中国特色社会主义教育理论体系研究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4.把制度自信教育融入国民教育全过程的实践路径研究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5.伟大抗</w:t>
      </w:r>
      <w:proofErr w:type="gramStart"/>
      <w:r>
        <w:rPr>
          <w:rFonts w:ascii="仿宋_GB2312" w:eastAsia="仿宋_GB2312" w:hAnsi="Times New Roman" w:cs="Times New Roman" w:hint="eastAsia"/>
          <w:color w:val="000000" w:themeColor="text1"/>
          <w:sz w:val="32"/>
          <w:szCs w:val="32"/>
        </w:rPr>
        <w:t>疫</w:t>
      </w:r>
      <w:proofErr w:type="gramEnd"/>
      <w:r>
        <w:rPr>
          <w:rFonts w:ascii="仿宋_GB2312" w:eastAsia="仿宋_GB2312" w:hAnsi="Times New Roman" w:cs="Times New Roman" w:hint="eastAsia"/>
          <w:color w:val="000000" w:themeColor="text1"/>
          <w:sz w:val="32"/>
          <w:szCs w:val="32"/>
        </w:rPr>
        <w:t>精神融入教育教学研究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6.新时代劳动教育理论和实践探索研究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7.适应新课程改革和新高考改革的普通高中育人方式变革研究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8.</w:t>
      </w:r>
      <w:proofErr w:type="gramStart"/>
      <w:r>
        <w:rPr>
          <w:rFonts w:ascii="仿宋_GB2312" w:eastAsia="仿宋_GB2312" w:hAnsi="Times New Roman" w:cs="Times New Roman" w:hint="eastAsia"/>
          <w:color w:val="000000" w:themeColor="text1"/>
          <w:sz w:val="32"/>
          <w:szCs w:val="32"/>
        </w:rPr>
        <w:t>课程思政建设</w:t>
      </w:r>
      <w:proofErr w:type="gramEnd"/>
      <w:r>
        <w:rPr>
          <w:rFonts w:ascii="仿宋_GB2312" w:eastAsia="仿宋_GB2312" w:hAnsi="Times New Roman" w:cs="Times New Roman" w:hint="eastAsia"/>
          <w:color w:val="000000" w:themeColor="text1"/>
          <w:sz w:val="32"/>
          <w:szCs w:val="32"/>
        </w:rPr>
        <w:t>与高校学生思想政治素质提升研究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9.教育现代化背景下学生美育评价研究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10.成渝地区双城经济</w:t>
      </w:r>
      <w:proofErr w:type="gramStart"/>
      <w:r>
        <w:rPr>
          <w:rFonts w:ascii="仿宋_GB2312" w:eastAsia="仿宋_GB2312" w:hAnsi="Times New Roman" w:cs="Times New Roman" w:hint="eastAsia"/>
          <w:color w:val="000000" w:themeColor="text1"/>
          <w:sz w:val="32"/>
          <w:szCs w:val="32"/>
        </w:rPr>
        <w:t>圈教育</w:t>
      </w:r>
      <w:proofErr w:type="gramEnd"/>
      <w:r>
        <w:rPr>
          <w:rFonts w:ascii="仿宋_GB2312" w:eastAsia="仿宋_GB2312" w:hAnsi="Times New Roman" w:cs="Times New Roman" w:hint="eastAsia"/>
          <w:color w:val="000000" w:themeColor="text1"/>
          <w:sz w:val="32"/>
          <w:szCs w:val="32"/>
        </w:rPr>
        <w:t>协同发展的问题与制度创新研究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11.成渝地区双城经济</w:t>
      </w:r>
      <w:proofErr w:type="gramStart"/>
      <w:r>
        <w:rPr>
          <w:rFonts w:ascii="仿宋_GB2312" w:eastAsia="仿宋_GB2312" w:hAnsi="宋体" w:cs="宋体" w:hint="eastAsia"/>
          <w:color w:val="000000" w:themeColor="text1"/>
          <w:kern w:val="0"/>
          <w:sz w:val="32"/>
          <w:szCs w:val="32"/>
        </w:rPr>
        <w:t>圈教育</w:t>
      </w:r>
      <w:proofErr w:type="gramEnd"/>
      <w:r>
        <w:rPr>
          <w:rFonts w:ascii="仿宋_GB2312" w:eastAsia="仿宋_GB2312" w:hAnsi="宋体" w:cs="宋体" w:hint="eastAsia"/>
          <w:color w:val="000000" w:themeColor="text1"/>
          <w:kern w:val="0"/>
          <w:sz w:val="32"/>
          <w:szCs w:val="32"/>
        </w:rPr>
        <w:t>与经济社会协同发展研究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12.“十四五”期间重庆教育现代化发展战略布局与推进策略研究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13.“十四五”期间重庆高等教育发展目标与推进策略研究</w:t>
      </w:r>
    </w:p>
    <w:p w:rsidR="00C46CB8" w:rsidRDefault="00640CC4">
      <w:pPr>
        <w:pStyle w:val="a8"/>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14.新时代重庆教育高质量发展的路径和对策研究</w:t>
      </w:r>
    </w:p>
    <w:p w:rsidR="00C46CB8" w:rsidRDefault="00640CC4">
      <w:pPr>
        <w:pStyle w:val="a8"/>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15.新时代深化重庆教育体制改革的目标和框架结构研究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16.重庆构建与教育治理现代化相匹配的教育政策体系研究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17.重庆构建促进教育治理能力提升的教育评价制度改革研究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18.重庆教育领域风险点特征与防范机制研究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19.重庆“两群”地区教育扶贫的现状、问题与对策研究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20.重庆学生体质健康综合干预和评估体系研究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21.重庆提高教师地位的政策体系研究</w:t>
      </w:r>
    </w:p>
    <w:p w:rsidR="00C46CB8" w:rsidRDefault="00640CC4">
      <w:pPr>
        <w:widowControl w:val="0"/>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lastRenderedPageBreak/>
        <w:t>22.重庆高校立德树人的落实机制研究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23.重庆高校“五育”融合实践路径与评价改革研究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24.重庆高校服务国家重大战略的实现路径研究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25.重庆一流本科教育建设标准与建设机制研究</w:t>
      </w:r>
    </w:p>
    <w:p w:rsidR="00C46CB8" w:rsidRDefault="00640CC4">
      <w:pPr>
        <w:widowControl w:val="0"/>
        <w:spacing w:line="360" w:lineRule="auto"/>
        <w:ind w:left="502" w:hangingChars="157" w:hanging="502"/>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26.重庆高校课程</w:t>
      </w:r>
      <w:proofErr w:type="gramStart"/>
      <w:r>
        <w:rPr>
          <w:rFonts w:ascii="仿宋_GB2312" w:eastAsia="仿宋_GB2312" w:hAnsi="Times New Roman" w:cs="Times New Roman" w:hint="eastAsia"/>
          <w:color w:val="000000" w:themeColor="text1"/>
          <w:sz w:val="32"/>
          <w:szCs w:val="32"/>
        </w:rPr>
        <w:t>思政改革</w:t>
      </w:r>
      <w:proofErr w:type="gramEnd"/>
      <w:r>
        <w:rPr>
          <w:rFonts w:ascii="仿宋_GB2312" w:eastAsia="仿宋_GB2312" w:hAnsi="Times New Roman" w:cs="Times New Roman" w:hint="eastAsia"/>
          <w:color w:val="000000" w:themeColor="text1"/>
          <w:sz w:val="32"/>
          <w:szCs w:val="32"/>
        </w:rPr>
        <w:t>创新研究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27.重庆建立新型高水平民办大学的制度创新与政策保障研究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28.重庆职业学校与应用型本科产教融合评价体系与监测研究</w:t>
      </w:r>
    </w:p>
    <w:p w:rsidR="00C46CB8" w:rsidRDefault="00640CC4">
      <w:pPr>
        <w:tabs>
          <w:tab w:val="left" w:pos="420"/>
        </w:tabs>
        <w:spacing w:line="360" w:lineRule="auto"/>
        <w:ind w:firstLineChars="0" w:firstLine="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29</w:t>
      </w:r>
      <w:r>
        <w:rPr>
          <w:rFonts w:ascii="仿宋_GB2312" w:eastAsia="仿宋_GB2312" w:hAnsi="宋体" w:cs="宋体"/>
          <w:color w:val="000000" w:themeColor="text1"/>
          <w:kern w:val="0"/>
          <w:sz w:val="32"/>
          <w:szCs w:val="32"/>
        </w:rPr>
        <w:t>.重庆</w:t>
      </w:r>
      <w:r>
        <w:rPr>
          <w:rFonts w:ascii="仿宋_GB2312" w:eastAsia="仿宋_GB2312" w:hAnsi="宋体" w:cs="宋体" w:hint="eastAsia"/>
          <w:color w:val="000000" w:themeColor="text1"/>
          <w:kern w:val="0"/>
          <w:sz w:val="32"/>
          <w:szCs w:val="32"/>
        </w:rPr>
        <w:t>中小学艺术教育改革研究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30.重庆中小学生身体素质提升的有效路径研究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31.重庆学前教育可持续发展的路径与对策研究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32.重庆民办教育发展战略和治理创新研究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33.重庆民族地区教育质量提升研究</w:t>
      </w:r>
    </w:p>
    <w:p w:rsidR="00C46CB8" w:rsidRDefault="00640CC4">
      <w:pPr>
        <w:widowControl w:val="0"/>
        <w:spacing w:line="360" w:lineRule="auto"/>
        <w:ind w:left="502" w:hangingChars="157" w:hanging="502"/>
        <w:rPr>
          <w:rFonts w:ascii="仿宋_GB2312" w:eastAsia="仿宋_GB2312" w:hAnsi="宋体" w:cs="宋体"/>
          <w:color w:val="000000" w:themeColor="text1"/>
          <w:kern w:val="0"/>
          <w:sz w:val="32"/>
          <w:szCs w:val="32"/>
        </w:rPr>
      </w:pPr>
      <w:r>
        <w:rPr>
          <w:rFonts w:ascii="仿宋_GB2312" w:eastAsia="仿宋_GB2312" w:hAnsi="Times New Roman" w:cs="Times New Roman" w:hint="eastAsia"/>
          <w:color w:val="000000" w:themeColor="text1"/>
          <w:sz w:val="32"/>
          <w:szCs w:val="32"/>
        </w:rPr>
        <w:t>34.重庆百年教育史研究</w:t>
      </w:r>
    </w:p>
    <w:p w:rsidR="00C46CB8" w:rsidRDefault="00640CC4">
      <w:pPr>
        <w:widowControl w:val="0"/>
        <w:spacing w:line="360" w:lineRule="auto"/>
        <w:ind w:firstLineChars="0" w:firstLine="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35.重庆近现代教育名家教育理念与培养实践研究</w:t>
      </w: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sectPr w:rsidR="00C46CB8">
          <w:pgSz w:w="11906" w:h="16838"/>
          <w:pgMar w:top="1701" w:right="1418" w:bottom="1418" w:left="1418" w:header="851" w:footer="992" w:gutter="0"/>
          <w:cols w:space="425"/>
          <w:docGrid w:type="lines" w:linePitch="312"/>
        </w:sectPr>
      </w:pPr>
    </w:p>
    <w:p w:rsidR="00C46CB8" w:rsidRDefault="00640CC4">
      <w:pPr>
        <w:pStyle w:val="1"/>
        <w:spacing w:before="0" w:after="0" w:line="360" w:lineRule="auto"/>
        <w:ind w:firstLineChars="0" w:firstLine="0"/>
        <w:jc w:val="center"/>
        <w:rPr>
          <w:rFonts w:ascii="黑体" w:eastAsia="黑体" w:hAnsi="黑体" w:cs="宋体"/>
          <w:color w:val="000000" w:themeColor="text1"/>
          <w:kern w:val="0"/>
          <w:sz w:val="32"/>
          <w:szCs w:val="32"/>
        </w:rPr>
      </w:pPr>
      <w:r>
        <w:rPr>
          <w:rFonts w:ascii="黑体" w:eastAsia="黑体" w:hAnsi="黑体" w:cs="宋体" w:hint="eastAsia"/>
          <w:color w:val="000000" w:themeColor="text1"/>
          <w:kern w:val="0"/>
          <w:sz w:val="32"/>
          <w:szCs w:val="32"/>
        </w:rPr>
        <w:lastRenderedPageBreak/>
        <w:t>体育学</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1.习近平新时代中国特色社会主义思想与体育强国建设研究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2.习近平总书记关于体育工作重要论述的系统研究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3.新时代国家体育治理体系和治理能力现代化研究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4.新时代中华体育精神创新与发展研究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5.新时代中国国际体育话语权提升研究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6.新时代中国特色体育学学科体系建设研究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7.中国共产党历代领导人体育观研究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8.马克思主义中国化的体育理论与实践研究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9.体育与人民幸福感关系研究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10.“中国女排精神”的时代价值研究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11.我国“三大球”发展的治理体系研究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12.中华优秀体育传统文化的核心价值及其传承研究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13.体育与人的现代化研究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14.体育强国国际标准研究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15.中外体育教育比较研究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16.2008年北京奥运会到2022年北京冬奥会的传承创新研究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17.北京冬奥会、冬残奥会的人文精神研究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18.坚持和完善我国竞技体育举国体制研究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19.我国体育哲学社会科学的学科基础及学科体系研究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20.我国体育仲裁制度研究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21.体育史料的挖掘、整理与研究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22.中国特色的体育科研成果评价体系研究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23.竞技体育治理的国际经验研究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24.特大型赛事与社会稳定和风险防范研究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25.中外学校体育课程体系的比较研究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26.全民健身与全民健康深度融合研究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27.“乡村振兴战略”与乡村体育发展研究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28.成渝地区双城经济</w:t>
      </w:r>
      <w:proofErr w:type="gramStart"/>
      <w:r>
        <w:rPr>
          <w:rFonts w:ascii="仿宋_GB2312" w:eastAsia="仿宋_GB2312" w:hAnsi="Times New Roman" w:cs="Times New Roman" w:hint="eastAsia"/>
          <w:sz w:val="32"/>
          <w:szCs w:val="32"/>
        </w:rPr>
        <w:t>圈体育</w:t>
      </w:r>
      <w:proofErr w:type="gramEnd"/>
      <w:r>
        <w:rPr>
          <w:rFonts w:ascii="仿宋_GB2312" w:eastAsia="仿宋_GB2312" w:hAnsi="Times New Roman" w:cs="Times New Roman" w:hint="eastAsia"/>
          <w:sz w:val="32"/>
          <w:szCs w:val="32"/>
        </w:rPr>
        <w:t>协同发展研究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29.重庆体育发展的历程、成就与经验研究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30.重庆学生体育精神与思想政治教育融合研究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31.重庆职业体育发展研究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32.新时代重庆体育协会改革的实证研究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33.重庆体育教练员职业发展的研究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34.重庆退役运动员再就业创业研究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35.重庆学校教育制度与学校体育改革研究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36.运动休闲与提高重庆民众生活质量的研究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37.重庆体育产业高质量发展研究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38.重庆体育产业与数字经济深度融合的机制和路径研究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39.重庆体育产业品牌研究</w:t>
      </w:r>
    </w:p>
    <w:p w:rsidR="00C46CB8" w:rsidRDefault="00640CC4">
      <w:pPr>
        <w:widowControl w:val="0"/>
        <w:spacing w:line="360" w:lineRule="auto"/>
        <w:ind w:left="502" w:hangingChars="157" w:hanging="502"/>
        <w:rPr>
          <w:rFonts w:ascii="仿宋_GB2312" w:eastAsia="仿宋_GB2312" w:hAnsi="Times New Roman" w:cs="Times New Roman"/>
          <w:sz w:val="32"/>
          <w:szCs w:val="32"/>
        </w:rPr>
      </w:pPr>
      <w:r>
        <w:rPr>
          <w:rFonts w:ascii="仿宋_GB2312" w:eastAsia="仿宋_GB2312" w:hAnsi="Times New Roman" w:cs="Times New Roman" w:hint="eastAsia"/>
          <w:sz w:val="32"/>
          <w:szCs w:val="32"/>
        </w:rPr>
        <w:t>40.重庆居民体育消费研究</w:t>
      </w: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pPr>
    </w:p>
    <w:p w:rsidR="00C46CB8" w:rsidRDefault="00C46CB8">
      <w:pPr>
        <w:widowControl w:val="0"/>
        <w:spacing w:line="360" w:lineRule="auto"/>
        <w:ind w:firstLineChars="0" w:firstLine="0"/>
        <w:rPr>
          <w:rFonts w:ascii="仿宋_GB2312" w:eastAsia="仿宋_GB2312" w:hAnsi="Times New Roman" w:cs="Times New Roman"/>
          <w:color w:val="000000" w:themeColor="text1"/>
          <w:sz w:val="32"/>
          <w:szCs w:val="32"/>
        </w:rPr>
      </w:pPr>
    </w:p>
    <w:p w:rsidR="00C46CB8" w:rsidRDefault="00C46CB8">
      <w:pPr>
        <w:ind w:firstLineChars="95" w:firstLine="199"/>
        <w:rPr>
          <w:color w:val="000000" w:themeColor="text1"/>
        </w:rPr>
      </w:pPr>
    </w:p>
    <w:sectPr w:rsidR="00C46CB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61" w:rsidRDefault="00EC7161">
      <w:pPr>
        <w:spacing w:line="240" w:lineRule="auto"/>
        <w:ind w:firstLine="420"/>
      </w:pPr>
      <w:r>
        <w:separator/>
      </w:r>
    </w:p>
  </w:endnote>
  <w:endnote w:type="continuationSeparator" w:id="0">
    <w:p w:rsidR="00EC7161" w:rsidRDefault="00EC716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3"/>
      <w:framePr w:wrap="around" w:vAnchor="text" w:hAnchor="margin" w:xAlign="center" w:y="1"/>
      <w:ind w:firstLine="360"/>
      <w:rPr>
        <w:rStyle w:val="a7"/>
      </w:rPr>
    </w:pPr>
    <w:r>
      <w:fldChar w:fldCharType="begin"/>
    </w:r>
    <w:r>
      <w:rPr>
        <w:rStyle w:val="a7"/>
      </w:rPr>
      <w:instrText xml:space="preserve">PAGE  </w:instrText>
    </w:r>
    <w:r>
      <w:fldChar w:fldCharType="separate"/>
    </w:r>
    <w:r>
      <w:rPr>
        <w:rStyle w:val="a7"/>
      </w:rPr>
      <w:t xml:space="preserve"> </w:t>
    </w:r>
    <w:r>
      <w:fldChar w:fldCharType="end"/>
    </w:r>
  </w:p>
  <w:p w:rsidR="00575FA7" w:rsidRDefault="00575FA7">
    <w:pPr>
      <w:pStyle w:val="a3"/>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3"/>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3"/>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3"/>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3"/>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3"/>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61" w:rsidRDefault="00EC7161">
      <w:pPr>
        <w:spacing w:line="240" w:lineRule="auto"/>
        <w:ind w:firstLine="420"/>
      </w:pPr>
      <w:r>
        <w:separator/>
      </w:r>
    </w:p>
  </w:footnote>
  <w:footnote w:type="continuationSeparator" w:id="0">
    <w:p w:rsidR="00EC7161" w:rsidRDefault="00EC716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5"/>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ind w:firstLineChars="0"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5"/>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5"/>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A7" w:rsidRDefault="00575FA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E5"/>
    <w:rsid w:val="0003515F"/>
    <w:rsid w:val="0004377E"/>
    <w:rsid w:val="00055238"/>
    <w:rsid w:val="000577CC"/>
    <w:rsid w:val="000B1345"/>
    <w:rsid w:val="000C5F06"/>
    <w:rsid w:val="00101198"/>
    <w:rsid w:val="00106E84"/>
    <w:rsid w:val="0012304C"/>
    <w:rsid w:val="001244E0"/>
    <w:rsid w:val="001402A1"/>
    <w:rsid w:val="00146FD4"/>
    <w:rsid w:val="00176C2E"/>
    <w:rsid w:val="00177FC3"/>
    <w:rsid w:val="001A5576"/>
    <w:rsid w:val="001A7726"/>
    <w:rsid w:val="001B2D58"/>
    <w:rsid w:val="001C6689"/>
    <w:rsid w:val="001E18CD"/>
    <w:rsid w:val="00224B0A"/>
    <w:rsid w:val="00244BE4"/>
    <w:rsid w:val="002978AA"/>
    <w:rsid w:val="002A7355"/>
    <w:rsid w:val="002D5688"/>
    <w:rsid w:val="002D5D9F"/>
    <w:rsid w:val="00312657"/>
    <w:rsid w:val="00336DF3"/>
    <w:rsid w:val="0036113E"/>
    <w:rsid w:val="00385C42"/>
    <w:rsid w:val="003B46D0"/>
    <w:rsid w:val="003B5DCB"/>
    <w:rsid w:val="003C3A33"/>
    <w:rsid w:val="003E4DDE"/>
    <w:rsid w:val="00401DE5"/>
    <w:rsid w:val="00422847"/>
    <w:rsid w:val="00441DD6"/>
    <w:rsid w:val="00467D9D"/>
    <w:rsid w:val="00493E34"/>
    <w:rsid w:val="004B115D"/>
    <w:rsid w:val="004B1639"/>
    <w:rsid w:val="004B34CF"/>
    <w:rsid w:val="004D5A54"/>
    <w:rsid w:val="004F1DA7"/>
    <w:rsid w:val="005218C3"/>
    <w:rsid w:val="00522477"/>
    <w:rsid w:val="0054062C"/>
    <w:rsid w:val="005450D1"/>
    <w:rsid w:val="00547ADE"/>
    <w:rsid w:val="00575FA7"/>
    <w:rsid w:val="005B6444"/>
    <w:rsid w:val="00611759"/>
    <w:rsid w:val="00640CC4"/>
    <w:rsid w:val="00645AE5"/>
    <w:rsid w:val="006477F9"/>
    <w:rsid w:val="0067606B"/>
    <w:rsid w:val="006A51F5"/>
    <w:rsid w:val="006B19F3"/>
    <w:rsid w:val="00724ED7"/>
    <w:rsid w:val="0072737E"/>
    <w:rsid w:val="00733E6F"/>
    <w:rsid w:val="00760268"/>
    <w:rsid w:val="007746C7"/>
    <w:rsid w:val="00792064"/>
    <w:rsid w:val="0079606F"/>
    <w:rsid w:val="007D30BA"/>
    <w:rsid w:val="007E5DA8"/>
    <w:rsid w:val="007E7411"/>
    <w:rsid w:val="007F5D00"/>
    <w:rsid w:val="008341DE"/>
    <w:rsid w:val="0086508F"/>
    <w:rsid w:val="00890BD9"/>
    <w:rsid w:val="0093282C"/>
    <w:rsid w:val="009405E8"/>
    <w:rsid w:val="00963FF9"/>
    <w:rsid w:val="0097062F"/>
    <w:rsid w:val="009973A0"/>
    <w:rsid w:val="00A72980"/>
    <w:rsid w:val="00AB5A72"/>
    <w:rsid w:val="00AD627D"/>
    <w:rsid w:val="00B0439E"/>
    <w:rsid w:val="00B12788"/>
    <w:rsid w:val="00B13F20"/>
    <w:rsid w:val="00B320B2"/>
    <w:rsid w:val="00B5304A"/>
    <w:rsid w:val="00B87669"/>
    <w:rsid w:val="00BB3D1A"/>
    <w:rsid w:val="00BE6460"/>
    <w:rsid w:val="00C11547"/>
    <w:rsid w:val="00C325C8"/>
    <w:rsid w:val="00C46CB8"/>
    <w:rsid w:val="00C51EF7"/>
    <w:rsid w:val="00C76062"/>
    <w:rsid w:val="00C84EB9"/>
    <w:rsid w:val="00C91215"/>
    <w:rsid w:val="00CA459C"/>
    <w:rsid w:val="00CB11E7"/>
    <w:rsid w:val="00CD13ED"/>
    <w:rsid w:val="00CD71A6"/>
    <w:rsid w:val="00D02A34"/>
    <w:rsid w:val="00D328AE"/>
    <w:rsid w:val="00D519CB"/>
    <w:rsid w:val="00D54E42"/>
    <w:rsid w:val="00D609E1"/>
    <w:rsid w:val="00D73097"/>
    <w:rsid w:val="00DB6163"/>
    <w:rsid w:val="00DF793E"/>
    <w:rsid w:val="00E07E3F"/>
    <w:rsid w:val="00E12BFC"/>
    <w:rsid w:val="00E1419B"/>
    <w:rsid w:val="00E545E9"/>
    <w:rsid w:val="00EB0D70"/>
    <w:rsid w:val="00EB3CA0"/>
    <w:rsid w:val="00EC01A5"/>
    <w:rsid w:val="00EC7161"/>
    <w:rsid w:val="00EF0FB0"/>
    <w:rsid w:val="00EF5068"/>
    <w:rsid w:val="00F20DFF"/>
    <w:rsid w:val="016D5D29"/>
    <w:rsid w:val="024E31BD"/>
    <w:rsid w:val="025C1B4A"/>
    <w:rsid w:val="070D3849"/>
    <w:rsid w:val="08FE5039"/>
    <w:rsid w:val="0B375294"/>
    <w:rsid w:val="0B602217"/>
    <w:rsid w:val="0B71230C"/>
    <w:rsid w:val="0B715836"/>
    <w:rsid w:val="0B727457"/>
    <w:rsid w:val="0CA06E61"/>
    <w:rsid w:val="0EC3267E"/>
    <w:rsid w:val="0EF625AC"/>
    <w:rsid w:val="104977A5"/>
    <w:rsid w:val="10A90F6E"/>
    <w:rsid w:val="110E5584"/>
    <w:rsid w:val="11175BEC"/>
    <w:rsid w:val="1203745D"/>
    <w:rsid w:val="12C23A8A"/>
    <w:rsid w:val="131D0882"/>
    <w:rsid w:val="13812B6E"/>
    <w:rsid w:val="13ED3D8E"/>
    <w:rsid w:val="14626D50"/>
    <w:rsid w:val="14D71F79"/>
    <w:rsid w:val="15A51221"/>
    <w:rsid w:val="1729160C"/>
    <w:rsid w:val="1764269C"/>
    <w:rsid w:val="17EF2E07"/>
    <w:rsid w:val="17F751D0"/>
    <w:rsid w:val="197E6B2C"/>
    <w:rsid w:val="199913CD"/>
    <w:rsid w:val="1A0206F7"/>
    <w:rsid w:val="1B265DE9"/>
    <w:rsid w:val="1BEE4DF7"/>
    <w:rsid w:val="1CF203D7"/>
    <w:rsid w:val="1EA74833"/>
    <w:rsid w:val="1EAB00AD"/>
    <w:rsid w:val="1FC34F60"/>
    <w:rsid w:val="209F6F92"/>
    <w:rsid w:val="234E1B01"/>
    <w:rsid w:val="2355603E"/>
    <w:rsid w:val="23FB4E4C"/>
    <w:rsid w:val="24B90E75"/>
    <w:rsid w:val="266B0E73"/>
    <w:rsid w:val="277C51EB"/>
    <w:rsid w:val="282C43EC"/>
    <w:rsid w:val="295A3BC5"/>
    <w:rsid w:val="2988420A"/>
    <w:rsid w:val="2A906944"/>
    <w:rsid w:val="2B767387"/>
    <w:rsid w:val="2B8901EE"/>
    <w:rsid w:val="2BA20629"/>
    <w:rsid w:val="2BDF5376"/>
    <w:rsid w:val="2BE65013"/>
    <w:rsid w:val="2C524771"/>
    <w:rsid w:val="2C8A5E20"/>
    <w:rsid w:val="2DBB3E55"/>
    <w:rsid w:val="2ECC0432"/>
    <w:rsid w:val="2F240E9E"/>
    <w:rsid w:val="2F942867"/>
    <w:rsid w:val="30A1695B"/>
    <w:rsid w:val="313E4C16"/>
    <w:rsid w:val="32865C79"/>
    <w:rsid w:val="32D15935"/>
    <w:rsid w:val="33DA255D"/>
    <w:rsid w:val="375138AA"/>
    <w:rsid w:val="37781D9D"/>
    <w:rsid w:val="388E0068"/>
    <w:rsid w:val="39F808A3"/>
    <w:rsid w:val="3A6C4F0A"/>
    <w:rsid w:val="3A8514C4"/>
    <w:rsid w:val="3C293B1F"/>
    <w:rsid w:val="3C3D73B9"/>
    <w:rsid w:val="3E866B71"/>
    <w:rsid w:val="3EE96E87"/>
    <w:rsid w:val="3F30371B"/>
    <w:rsid w:val="40AF644D"/>
    <w:rsid w:val="42971F85"/>
    <w:rsid w:val="42E854F8"/>
    <w:rsid w:val="43EF5F40"/>
    <w:rsid w:val="44733FB6"/>
    <w:rsid w:val="44BB4440"/>
    <w:rsid w:val="44F366BA"/>
    <w:rsid w:val="456C7AE2"/>
    <w:rsid w:val="457708E0"/>
    <w:rsid w:val="464C76CF"/>
    <w:rsid w:val="46BD2650"/>
    <w:rsid w:val="47D755E4"/>
    <w:rsid w:val="47FC538D"/>
    <w:rsid w:val="48993612"/>
    <w:rsid w:val="4A04393F"/>
    <w:rsid w:val="4B470073"/>
    <w:rsid w:val="4BE95B17"/>
    <w:rsid w:val="4DE621FB"/>
    <w:rsid w:val="4E9F2A08"/>
    <w:rsid w:val="4ED332E9"/>
    <w:rsid w:val="4FA77313"/>
    <w:rsid w:val="50086768"/>
    <w:rsid w:val="509938A8"/>
    <w:rsid w:val="50B055A1"/>
    <w:rsid w:val="510D1FCC"/>
    <w:rsid w:val="52A51BA5"/>
    <w:rsid w:val="536F2255"/>
    <w:rsid w:val="539C2AB0"/>
    <w:rsid w:val="53D04C0D"/>
    <w:rsid w:val="53FD6011"/>
    <w:rsid w:val="54E43134"/>
    <w:rsid w:val="555E5F94"/>
    <w:rsid w:val="56553771"/>
    <w:rsid w:val="56D96EA8"/>
    <w:rsid w:val="573371E1"/>
    <w:rsid w:val="57AC218E"/>
    <w:rsid w:val="58453CFE"/>
    <w:rsid w:val="5A607655"/>
    <w:rsid w:val="5B2F62E3"/>
    <w:rsid w:val="5C5C7EB7"/>
    <w:rsid w:val="5C9F389C"/>
    <w:rsid w:val="5CA64CA6"/>
    <w:rsid w:val="5F831F7B"/>
    <w:rsid w:val="5F88496B"/>
    <w:rsid w:val="60C62535"/>
    <w:rsid w:val="61113C00"/>
    <w:rsid w:val="616D36A3"/>
    <w:rsid w:val="624E6F8F"/>
    <w:rsid w:val="62981A01"/>
    <w:rsid w:val="630F5067"/>
    <w:rsid w:val="646C2D7C"/>
    <w:rsid w:val="65116386"/>
    <w:rsid w:val="65D42165"/>
    <w:rsid w:val="66642AA7"/>
    <w:rsid w:val="67D52A51"/>
    <w:rsid w:val="680944DF"/>
    <w:rsid w:val="6845513F"/>
    <w:rsid w:val="68483E44"/>
    <w:rsid w:val="68DB5336"/>
    <w:rsid w:val="6B8C3DEB"/>
    <w:rsid w:val="6BBD684A"/>
    <w:rsid w:val="6C4C3EAD"/>
    <w:rsid w:val="6C4E728F"/>
    <w:rsid w:val="6D042B84"/>
    <w:rsid w:val="6E663044"/>
    <w:rsid w:val="6F033D94"/>
    <w:rsid w:val="70472F55"/>
    <w:rsid w:val="715D0027"/>
    <w:rsid w:val="722550A8"/>
    <w:rsid w:val="73B52AC6"/>
    <w:rsid w:val="73BA5392"/>
    <w:rsid w:val="74DC4BB1"/>
    <w:rsid w:val="75237E26"/>
    <w:rsid w:val="759722FF"/>
    <w:rsid w:val="75E14921"/>
    <w:rsid w:val="77A007AB"/>
    <w:rsid w:val="79F56707"/>
    <w:rsid w:val="7A64293C"/>
    <w:rsid w:val="7B0D396E"/>
    <w:rsid w:val="7B5F2E59"/>
    <w:rsid w:val="7D1E6A9F"/>
    <w:rsid w:val="7DC17407"/>
    <w:rsid w:val="7E9222F7"/>
    <w:rsid w:val="7EDD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74634"/>
  <w15:docId w15:val="{FB02C16A-6B8C-49B2-B270-1D4ED413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8">
    <w:name w:val="List Paragraph"/>
    <w:basedOn w:val="a"/>
    <w:uiPriority w:val="99"/>
    <w:qFormat/>
    <w:pPr>
      <w:widowControl w:val="0"/>
      <w:spacing w:line="240" w:lineRule="auto"/>
      <w:ind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95249">
      <w:bodyDiv w:val="1"/>
      <w:marLeft w:val="0"/>
      <w:marRight w:val="0"/>
      <w:marTop w:val="0"/>
      <w:marBottom w:val="0"/>
      <w:divBdr>
        <w:top w:val="none" w:sz="0" w:space="0" w:color="auto"/>
        <w:left w:val="none" w:sz="0" w:space="0" w:color="auto"/>
        <w:bottom w:val="none" w:sz="0" w:space="0" w:color="auto"/>
        <w:right w:val="none" w:sz="0" w:space="0" w:color="auto"/>
      </w:divBdr>
    </w:div>
    <w:div w:id="211196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DE4DA-398D-4554-80C5-CDFA5EEF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54</Pages>
  <Words>2778</Words>
  <Characters>15835</Characters>
  <Application>Microsoft Office Word</Application>
  <DocSecurity>0</DocSecurity>
  <Lines>131</Lines>
  <Paragraphs>37</Paragraphs>
  <ScaleCrop>false</ScaleCrop>
  <Company>微软公司</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Marbor</dc:creator>
  <cp:lastModifiedBy>尤春艳</cp:lastModifiedBy>
  <cp:revision>18</cp:revision>
  <dcterms:created xsi:type="dcterms:W3CDTF">2020-11-09T07:17:00Z</dcterms:created>
  <dcterms:modified xsi:type="dcterms:W3CDTF">2020-12-01T09:06:00Z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